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2D723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9F49017" w:rsidR="00F92268" w:rsidRPr="002D723B" w:rsidRDefault="00B56A08" w:rsidP="00F246C7">
            <w:pPr>
              <w:pStyle w:val="RefTableHeader"/>
            </w:pPr>
            <w:r>
              <w:t>1704</w:t>
            </w:r>
            <w:r w:rsidR="00967D31" w:rsidRPr="002D723B">
              <w:t>-</w:t>
            </w:r>
            <w:r w:rsidR="00002A02">
              <w:t>A</w:t>
            </w:r>
          </w:p>
        </w:tc>
      </w:tr>
    </w:tbl>
    <w:p w14:paraId="74FBA5B4" w14:textId="77777777" w:rsidR="002D723B" w:rsidRDefault="002D723B" w:rsidP="002D723B">
      <w:pPr>
        <w:pStyle w:val="BodyText"/>
        <w:spacing w:after="0"/>
        <w:rPr>
          <w:b/>
          <w:bCs/>
          <w:sz w:val="16"/>
          <w:szCs w:val="16"/>
        </w:rPr>
        <w:sectPr w:rsidR="002D723B" w:rsidSect="004D6C3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14C6134" w:rsidR="004B15BB" w:rsidRDefault="00B61A8B" w:rsidP="002D723B">
      <w:pPr>
        <w:pStyle w:val="Heading1"/>
        <w:spacing w:after="0"/>
        <w:rPr>
          <w:lang w:val="pt-BR"/>
        </w:rPr>
      </w:pPr>
      <w:r w:rsidRPr="002D723B">
        <w:rPr>
          <w:lang w:val="pt-BR"/>
        </w:rPr>
        <w:t xml:space="preserve">Specialty </w:t>
      </w:r>
      <w:r w:rsidR="0024395C">
        <w:rPr>
          <w:lang w:val="pt-BR"/>
        </w:rPr>
        <w:t>Guideline Management</w:t>
      </w:r>
      <w:r w:rsidR="008C54D9" w:rsidRPr="002D723B">
        <w:rPr>
          <w:lang w:val="pt-BR"/>
        </w:rPr>
        <w:br/>
      </w:r>
      <w:r w:rsidR="00E46BFE">
        <w:rPr>
          <w:lang w:val="pt-BR"/>
        </w:rPr>
        <w:t>Rituximab Products</w:t>
      </w:r>
    </w:p>
    <w:p w14:paraId="074E0EDD" w14:textId="7CA0160C" w:rsidR="00E46BFE" w:rsidRPr="00E46BFE" w:rsidRDefault="00E46BFE" w:rsidP="009F5CAD">
      <w:pPr>
        <w:pStyle w:val="Heading1"/>
        <w:rPr>
          <w:lang w:val="pt-BR"/>
        </w:rPr>
      </w:pPr>
      <w:r w:rsidRPr="00E46BFE">
        <w:rPr>
          <w:lang w:val="pt-BR"/>
        </w:rPr>
        <w:t>Treatment of Rheumatoid Arthritis and Other Conditions</w:t>
      </w:r>
    </w:p>
    <w:p w14:paraId="78861C92" w14:textId="3FAABB3E" w:rsidR="00203468" w:rsidRPr="00BD1CC1" w:rsidRDefault="00C64534" w:rsidP="008E0F0D">
      <w:pPr>
        <w:pStyle w:val="Heading2"/>
      </w:pPr>
      <w:r w:rsidRPr="00BD1CC1">
        <w:t xml:space="preserve">Products Referenced by this </w:t>
      </w:r>
      <w:r w:rsidR="00501602" w:rsidRPr="00BD1CC1">
        <w:t>Document</w:t>
      </w:r>
    </w:p>
    <w:p w14:paraId="5455152B" w14:textId="1ACE3E2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73832" w:rsidRPr="00073832">
        <w:t xml:space="preserve">Over-the-counter (OTC)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E46BFE">
            <w:pPr>
              <w:pStyle w:val="TableHeader"/>
              <w:spacing w:after="0"/>
            </w:pPr>
            <w:bookmarkStart w:id="0" w:name="_Hlk159603270"/>
            <w:r w:rsidRPr="00BD1CC1">
              <w:t>Brand Name</w:t>
            </w:r>
          </w:p>
        </w:tc>
        <w:tc>
          <w:tcPr>
            <w:tcW w:w="5595" w:type="dxa"/>
            <w:vAlign w:val="center"/>
          </w:tcPr>
          <w:p w14:paraId="3D342BE1" w14:textId="75F11EF1" w:rsidR="00252CE1" w:rsidRPr="00BD1CC1" w:rsidRDefault="00252CE1" w:rsidP="00E46BFE">
            <w:pPr>
              <w:pStyle w:val="TableHeader"/>
              <w:spacing w:after="0"/>
            </w:pPr>
            <w:r w:rsidRPr="00BD1CC1">
              <w:t>Generic Name</w:t>
            </w:r>
          </w:p>
        </w:tc>
      </w:tr>
      <w:tr w:rsidR="00E46BFE" w:rsidRPr="00BD1CC1" w14:paraId="2AD5C02D" w14:textId="77777777" w:rsidTr="000C5A6F">
        <w:trPr>
          <w:cantSplit/>
        </w:trPr>
        <w:tc>
          <w:tcPr>
            <w:tcW w:w="5265" w:type="dxa"/>
          </w:tcPr>
          <w:p w14:paraId="2D8FA8E3" w14:textId="53842B47" w:rsidR="00E46BFE" w:rsidRPr="00BD1CC1" w:rsidRDefault="00E46BFE" w:rsidP="00E46BFE">
            <w:pPr>
              <w:pStyle w:val="TableDataUnpadded"/>
            </w:pPr>
            <w:r w:rsidRPr="00264F27">
              <w:t>Rituxan</w:t>
            </w:r>
          </w:p>
        </w:tc>
        <w:tc>
          <w:tcPr>
            <w:tcW w:w="5595" w:type="dxa"/>
          </w:tcPr>
          <w:p w14:paraId="7E26A004" w14:textId="107D2F11" w:rsidR="00E46BFE" w:rsidRPr="00BD1CC1" w:rsidRDefault="00E46BFE" w:rsidP="00E46BFE">
            <w:pPr>
              <w:pStyle w:val="TableDataUnpadded"/>
            </w:pPr>
            <w:r w:rsidRPr="00264F27">
              <w:t>rituximab</w:t>
            </w:r>
          </w:p>
        </w:tc>
      </w:tr>
      <w:tr w:rsidR="00E46BFE" w:rsidRPr="00BD1CC1" w14:paraId="3781E37D" w14:textId="77777777" w:rsidTr="000C5A6F">
        <w:trPr>
          <w:cantSplit/>
        </w:trPr>
        <w:tc>
          <w:tcPr>
            <w:tcW w:w="5265" w:type="dxa"/>
          </w:tcPr>
          <w:p w14:paraId="3C3860EE" w14:textId="2D8364B6" w:rsidR="00E46BFE" w:rsidRPr="00BD1CC1" w:rsidRDefault="00E46BFE" w:rsidP="00E46BFE">
            <w:pPr>
              <w:pStyle w:val="TableDataUnpadded"/>
            </w:pPr>
            <w:proofErr w:type="spellStart"/>
            <w:r w:rsidRPr="00264F27">
              <w:t>Ruxience</w:t>
            </w:r>
            <w:proofErr w:type="spellEnd"/>
          </w:p>
        </w:tc>
        <w:tc>
          <w:tcPr>
            <w:tcW w:w="5595" w:type="dxa"/>
          </w:tcPr>
          <w:p w14:paraId="59EB6B58" w14:textId="24BB632D" w:rsidR="00E46BFE" w:rsidRPr="00BD1CC1" w:rsidRDefault="00E46BFE" w:rsidP="00E46BFE">
            <w:pPr>
              <w:pStyle w:val="TableDataUnpadded"/>
            </w:pPr>
            <w:r w:rsidRPr="00264F27">
              <w:t>rituximab-</w:t>
            </w:r>
            <w:proofErr w:type="spellStart"/>
            <w:r w:rsidRPr="00264F27">
              <w:t>pvvr</w:t>
            </w:r>
            <w:proofErr w:type="spellEnd"/>
          </w:p>
        </w:tc>
      </w:tr>
      <w:tr w:rsidR="00E46BFE" w:rsidRPr="00BD1CC1" w14:paraId="5EF0D227" w14:textId="77777777" w:rsidTr="000C5A6F">
        <w:trPr>
          <w:cantSplit/>
        </w:trPr>
        <w:tc>
          <w:tcPr>
            <w:tcW w:w="5265" w:type="dxa"/>
          </w:tcPr>
          <w:p w14:paraId="160B4140" w14:textId="43D86CA5" w:rsidR="00E46BFE" w:rsidRPr="00BD1CC1" w:rsidRDefault="00E46BFE" w:rsidP="00E46BFE">
            <w:pPr>
              <w:pStyle w:val="TableDataUnpadded"/>
            </w:pPr>
            <w:proofErr w:type="spellStart"/>
            <w:r w:rsidRPr="00264F27">
              <w:t>Truxima</w:t>
            </w:r>
            <w:proofErr w:type="spellEnd"/>
          </w:p>
        </w:tc>
        <w:tc>
          <w:tcPr>
            <w:tcW w:w="5595" w:type="dxa"/>
          </w:tcPr>
          <w:p w14:paraId="48D2ED92" w14:textId="60CCD1BA" w:rsidR="00E46BFE" w:rsidRPr="00BD1CC1" w:rsidRDefault="00E46BFE" w:rsidP="00E46BFE">
            <w:pPr>
              <w:pStyle w:val="TableDataUnpadded"/>
            </w:pPr>
            <w:r w:rsidRPr="00264F27">
              <w:t>rituximab-abbs</w:t>
            </w:r>
          </w:p>
        </w:tc>
      </w:tr>
      <w:tr w:rsidR="00E46BFE" w:rsidRPr="00BD1CC1" w14:paraId="40A75575" w14:textId="77777777" w:rsidTr="000C5A6F">
        <w:trPr>
          <w:cantSplit/>
        </w:trPr>
        <w:tc>
          <w:tcPr>
            <w:tcW w:w="5265" w:type="dxa"/>
          </w:tcPr>
          <w:p w14:paraId="3900F255" w14:textId="2C96B9F8" w:rsidR="00E46BFE" w:rsidRPr="00BD1CC1" w:rsidRDefault="00E46BFE" w:rsidP="00E46BFE">
            <w:pPr>
              <w:pStyle w:val="TableDataUnpadded"/>
            </w:pPr>
            <w:proofErr w:type="spellStart"/>
            <w:r w:rsidRPr="00264F27">
              <w:t>Riabni</w:t>
            </w:r>
            <w:proofErr w:type="spellEnd"/>
          </w:p>
        </w:tc>
        <w:tc>
          <w:tcPr>
            <w:tcW w:w="5595" w:type="dxa"/>
          </w:tcPr>
          <w:p w14:paraId="745D76E6" w14:textId="2D691A10" w:rsidR="00E46BFE" w:rsidRPr="00BD1CC1" w:rsidRDefault="00E46BFE" w:rsidP="00E46BFE">
            <w:pPr>
              <w:pStyle w:val="TableDataUnpadded"/>
            </w:pPr>
            <w:r w:rsidRPr="00264F27">
              <w:t>rituximab-</w:t>
            </w:r>
            <w:proofErr w:type="spellStart"/>
            <w:r w:rsidRPr="00264F27">
              <w:t>arrx</w:t>
            </w:r>
            <w:proofErr w:type="spellEnd"/>
          </w:p>
        </w:tc>
      </w:tr>
    </w:tbl>
    <w:bookmarkEnd w:id="0"/>
    <w:p w14:paraId="14CE6108" w14:textId="2B29DDB2" w:rsidR="00FC1AAD" w:rsidRDefault="00474E9A" w:rsidP="002D723B">
      <w:pPr>
        <w:pStyle w:val="Heading2"/>
        <w:tabs>
          <w:tab w:val="left" w:pos="9525"/>
        </w:tabs>
        <w:spacing w:before="360"/>
      </w:pPr>
      <w:r>
        <w:t>Indications</w:t>
      </w:r>
    </w:p>
    <w:p w14:paraId="5DA04EFD" w14:textId="4196E5B9" w:rsidR="00E46BFE" w:rsidRPr="00E46BFE" w:rsidRDefault="00E46BFE" w:rsidP="00E46BFE">
      <w:pPr>
        <w:pStyle w:val="BodyText"/>
      </w:pPr>
      <w:r w:rsidRPr="00E46BFE">
        <w:t>The indications below including FDA-approved indications and compendial uses are considered a covered benefit provided that all the approval criteria are met and the member has no exclusions to the prescribed therapy</w:t>
      </w:r>
      <w:r>
        <w:t>.</w:t>
      </w:r>
    </w:p>
    <w:p w14:paraId="4D0207E5" w14:textId="010D1D21" w:rsidR="00474E9A" w:rsidRPr="00AF287D" w:rsidRDefault="00474E9A" w:rsidP="00474E9A">
      <w:pPr>
        <w:pStyle w:val="Heading3"/>
        <w:keepNext w:val="0"/>
      </w:pPr>
      <w:r w:rsidRPr="00AF287D">
        <w:t>FDA-approved Indications</w:t>
      </w:r>
      <w:r w:rsidR="00E46BFE">
        <w:rPr>
          <w:vertAlign w:val="superscript"/>
        </w:rPr>
        <w:t>1,2,2</w:t>
      </w:r>
      <w:r w:rsidR="00792991">
        <w:rPr>
          <w:vertAlign w:val="superscript"/>
        </w:rPr>
        <w:t>2</w:t>
      </w:r>
      <w:r w:rsidR="00E46BFE">
        <w:rPr>
          <w:vertAlign w:val="superscript"/>
        </w:rPr>
        <w:t>,2</w:t>
      </w:r>
      <w:r w:rsidR="00792991">
        <w:rPr>
          <w:vertAlign w:val="superscript"/>
        </w:rPr>
        <w:t>3</w:t>
      </w:r>
    </w:p>
    <w:p w14:paraId="06D5EAA6" w14:textId="329CEB5D" w:rsidR="00E46BFE" w:rsidRPr="00E46BFE" w:rsidRDefault="00E46BFE" w:rsidP="00591933">
      <w:pPr>
        <w:pStyle w:val="ListParagraph"/>
      </w:pPr>
      <w:r w:rsidRPr="00E46BFE">
        <w:t>Granulomatosis with Polyangiitis (GPA) (Wegener’s Granulomatosis) and Microscopic Polyangiitis (MPA) in adult and pediatric patients 2 years of age and older* in combination with glucocorticoids (*pediatric indication applies to Rituxan only).</w:t>
      </w:r>
    </w:p>
    <w:p w14:paraId="5797A930" w14:textId="78903189" w:rsidR="00E46BFE" w:rsidRPr="00E46BFE" w:rsidRDefault="00E46BFE" w:rsidP="00591933">
      <w:pPr>
        <w:pStyle w:val="ListParagraph"/>
      </w:pPr>
      <w:r w:rsidRPr="00E46BFE">
        <w:t>Rheumatoid Arthritis (RA) in combination with methotrexate in adult patients with moderately-to severely-active RA who have inadequate response to one or more TNF antagonist therapies.</w:t>
      </w:r>
    </w:p>
    <w:p w14:paraId="3EE2F096" w14:textId="5F93A047" w:rsidR="00E46BFE" w:rsidRPr="00E46BFE" w:rsidRDefault="00E46BFE" w:rsidP="00591933">
      <w:pPr>
        <w:pStyle w:val="ListParagraph"/>
      </w:pPr>
      <w:r w:rsidRPr="00E46BFE">
        <w:lastRenderedPageBreak/>
        <w:t>Non-Hodgkin’s lymphoma (NHL)</w:t>
      </w:r>
      <w:r w:rsidR="00967315">
        <w:t>:</w:t>
      </w:r>
      <w:r w:rsidR="00591933">
        <w:br/>
      </w:r>
      <w:r w:rsidRPr="00E46BFE">
        <w:t>(Not addressed in this policy – Refer to Rituxan-</w:t>
      </w:r>
      <w:proofErr w:type="spellStart"/>
      <w:r w:rsidRPr="00E46BFE">
        <w:t>Ruxience</w:t>
      </w:r>
      <w:proofErr w:type="spellEnd"/>
      <w:r w:rsidRPr="00E46BFE">
        <w:t>-</w:t>
      </w:r>
      <w:proofErr w:type="spellStart"/>
      <w:r w:rsidRPr="00E46BFE">
        <w:t>Truxima</w:t>
      </w:r>
      <w:proofErr w:type="spellEnd"/>
      <w:r w:rsidRPr="00E46BFE">
        <w:t>-</w:t>
      </w:r>
      <w:proofErr w:type="spellStart"/>
      <w:r w:rsidRPr="00E46BFE">
        <w:t>Riabni</w:t>
      </w:r>
      <w:proofErr w:type="spellEnd"/>
      <w:r w:rsidRPr="00E46BFE">
        <w:t>-Oncology SGM)</w:t>
      </w:r>
    </w:p>
    <w:p w14:paraId="3212F38D" w14:textId="16B958E2" w:rsidR="00E46BFE" w:rsidRPr="00E46BFE" w:rsidRDefault="00E46BFE" w:rsidP="00591933">
      <w:pPr>
        <w:pStyle w:val="ListParagraph"/>
      </w:pPr>
      <w:r w:rsidRPr="00E46BFE">
        <w:t>Chronic lymphocytic leukemia (CLL)</w:t>
      </w:r>
      <w:r w:rsidR="00967315">
        <w:t>:</w:t>
      </w:r>
      <w:r w:rsidR="00591933">
        <w:br/>
      </w:r>
      <w:r w:rsidRPr="00E46BFE">
        <w:t>(Not addressed in this policy – Refer to Rituxan-</w:t>
      </w:r>
      <w:proofErr w:type="spellStart"/>
      <w:r w:rsidRPr="00E46BFE">
        <w:t>Ruxience</w:t>
      </w:r>
      <w:proofErr w:type="spellEnd"/>
      <w:r w:rsidRPr="00E46BFE">
        <w:t>-</w:t>
      </w:r>
      <w:proofErr w:type="spellStart"/>
      <w:r w:rsidRPr="00E46BFE">
        <w:t>Truxima</w:t>
      </w:r>
      <w:proofErr w:type="spellEnd"/>
      <w:r w:rsidRPr="00E46BFE">
        <w:t>-</w:t>
      </w:r>
      <w:proofErr w:type="spellStart"/>
      <w:r w:rsidRPr="00E46BFE">
        <w:t>Riabni</w:t>
      </w:r>
      <w:proofErr w:type="spellEnd"/>
      <w:r w:rsidRPr="00E46BFE">
        <w:t>-Oncology SGM)</w:t>
      </w:r>
    </w:p>
    <w:p w14:paraId="5B4534D8" w14:textId="530B9CCB" w:rsidR="00E46BFE" w:rsidRPr="00E46BFE" w:rsidRDefault="00E46BFE" w:rsidP="00183CFF">
      <w:pPr>
        <w:pStyle w:val="ListParagraph"/>
      </w:pPr>
      <w:r w:rsidRPr="00E46BFE">
        <w:t>Pemphigus Vulgaris (PV)</w:t>
      </w:r>
      <w:r w:rsidR="00183CFF">
        <w:t xml:space="preserve">: </w:t>
      </w:r>
      <w:r w:rsidRPr="00E46BFE">
        <w:t>Rituxan is indicated for the treatment of adult patients with moderate to severe pemphigus vulgaris.</w:t>
      </w:r>
    </w:p>
    <w:p w14:paraId="61F5CC5B" w14:textId="430AF72D" w:rsidR="00474E9A" w:rsidRPr="00AF287D" w:rsidRDefault="00E46BFE" w:rsidP="00474E9A">
      <w:pPr>
        <w:pStyle w:val="ListParagraph"/>
      </w:pPr>
      <w:r w:rsidRPr="00E46BFE">
        <w:t>Mature B-cell acute leukemia (B-AL)</w:t>
      </w:r>
      <w:r w:rsidR="00967315">
        <w:t>:</w:t>
      </w:r>
      <w:r w:rsidR="00FC390C">
        <w:br/>
      </w:r>
      <w:r w:rsidRPr="00E46BFE">
        <w:t>Not addressed in this policy - Refer to Rituxan-</w:t>
      </w:r>
      <w:proofErr w:type="spellStart"/>
      <w:r w:rsidRPr="00E46BFE">
        <w:t>Ruxience</w:t>
      </w:r>
      <w:proofErr w:type="spellEnd"/>
      <w:r w:rsidRPr="00E46BFE">
        <w:t>-</w:t>
      </w:r>
      <w:proofErr w:type="spellStart"/>
      <w:r w:rsidRPr="00E46BFE">
        <w:t>Truxima-Riabni</w:t>
      </w:r>
      <w:proofErr w:type="spellEnd"/>
      <w:r w:rsidRPr="00E46BFE">
        <w:t xml:space="preserve"> Oncology SGM)</w:t>
      </w:r>
    </w:p>
    <w:p w14:paraId="2DADBC0A" w14:textId="77777777" w:rsidR="00474E9A" w:rsidRDefault="00474E9A" w:rsidP="00474E9A">
      <w:pPr>
        <w:pStyle w:val="Heading3"/>
        <w:rPr>
          <w:rStyle w:val="Emphasis"/>
          <w:i w:val="0"/>
          <w:iCs w:val="0"/>
          <w:sz w:val="32"/>
          <w:szCs w:val="32"/>
        </w:rPr>
      </w:pPr>
      <w:r w:rsidRPr="00AF287D">
        <w:rPr>
          <w:rStyle w:val="Emphasis"/>
          <w:i w:val="0"/>
          <w:iCs w:val="0"/>
          <w:sz w:val="32"/>
          <w:szCs w:val="32"/>
        </w:rPr>
        <w:t>Compendial Uses</w:t>
      </w:r>
    </w:p>
    <w:p w14:paraId="705BAA76" w14:textId="2AC9CCBD" w:rsidR="00FC390C" w:rsidRPr="00FC390C" w:rsidRDefault="00FC390C" w:rsidP="00FC390C">
      <w:pPr>
        <w:pStyle w:val="ListParagraph"/>
      </w:pPr>
      <w:proofErr w:type="spellStart"/>
      <w:r w:rsidRPr="00FC390C">
        <w:t>Sjögren’s</w:t>
      </w:r>
      <w:proofErr w:type="spellEnd"/>
      <w:r w:rsidRPr="00FC390C">
        <w:t xml:space="preserve"> syndrome</w:t>
      </w:r>
      <w:r w:rsidRPr="00FC390C">
        <w:rPr>
          <w:vertAlign w:val="superscript"/>
        </w:rPr>
        <w:t>4-6</w:t>
      </w:r>
    </w:p>
    <w:p w14:paraId="07A75832" w14:textId="3560E9E5" w:rsidR="00FC390C" w:rsidRPr="00FC390C" w:rsidRDefault="00FC390C" w:rsidP="00FC390C">
      <w:pPr>
        <w:pStyle w:val="ListParagraph"/>
      </w:pPr>
      <w:r w:rsidRPr="00FC390C">
        <w:t>Multiple sclerosis, relapsing-remitting</w:t>
      </w:r>
      <w:r w:rsidRPr="00FC390C">
        <w:rPr>
          <w:vertAlign w:val="superscript"/>
        </w:rPr>
        <w:t>4,1</w:t>
      </w:r>
      <w:r w:rsidR="00792991">
        <w:rPr>
          <w:vertAlign w:val="superscript"/>
        </w:rPr>
        <w:t>0</w:t>
      </w:r>
    </w:p>
    <w:p w14:paraId="39EF3C39" w14:textId="09196B72" w:rsidR="00FC390C" w:rsidRPr="00FC390C" w:rsidRDefault="00FC390C" w:rsidP="00FC390C">
      <w:pPr>
        <w:pStyle w:val="ListParagraph"/>
      </w:pPr>
      <w:r w:rsidRPr="00FC390C">
        <w:t xml:space="preserve">Neuromyelitis </w:t>
      </w:r>
      <w:proofErr w:type="spellStart"/>
      <w:r w:rsidRPr="00FC390C">
        <w:t>optica</w:t>
      </w:r>
      <w:proofErr w:type="spellEnd"/>
      <w:r w:rsidRPr="00FC390C">
        <w:t xml:space="preserve"> (i.e., neuromyelitis </w:t>
      </w:r>
      <w:proofErr w:type="spellStart"/>
      <w:r w:rsidRPr="00FC390C">
        <w:t>optica</w:t>
      </w:r>
      <w:proofErr w:type="spellEnd"/>
      <w:r w:rsidRPr="00FC390C">
        <w:t xml:space="preserve"> spectrum disorder, NMOSD, </w:t>
      </w:r>
      <w:proofErr w:type="spellStart"/>
      <w:r w:rsidRPr="00FC390C">
        <w:t>Devic</w:t>
      </w:r>
      <w:proofErr w:type="spellEnd"/>
      <w:r w:rsidRPr="00FC390C">
        <w:t xml:space="preserve"> disease)</w:t>
      </w:r>
      <w:r w:rsidRPr="00FC390C">
        <w:rPr>
          <w:vertAlign w:val="superscript"/>
        </w:rPr>
        <w:t>1</w:t>
      </w:r>
      <w:r w:rsidR="00792991">
        <w:rPr>
          <w:vertAlign w:val="superscript"/>
        </w:rPr>
        <w:t>1</w:t>
      </w:r>
      <w:r w:rsidRPr="00FC390C">
        <w:rPr>
          <w:vertAlign w:val="superscript"/>
        </w:rPr>
        <w:t>,1</w:t>
      </w:r>
      <w:r w:rsidR="00792991">
        <w:rPr>
          <w:vertAlign w:val="superscript"/>
        </w:rPr>
        <w:t>2</w:t>
      </w:r>
      <w:r w:rsidRPr="00FC390C">
        <w:rPr>
          <w:vertAlign w:val="superscript"/>
        </w:rPr>
        <w:t>,</w:t>
      </w:r>
      <w:r w:rsidR="00792991">
        <w:rPr>
          <w:vertAlign w:val="superscript"/>
        </w:rPr>
        <w:t>28</w:t>
      </w:r>
      <w:r w:rsidRPr="00FC390C">
        <w:rPr>
          <w:vertAlign w:val="superscript"/>
        </w:rPr>
        <w:t>,3</w:t>
      </w:r>
      <w:r w:rsidR="00792991">
        <w:rPr>
          <w:vertAlign w:val="superscript"/>
        </w:rPr>
        <w:t>2</w:t>
      </w:r>
    </w:p>
    <w:p w14:paraId="29E62A2E" w14:textId="650B5A0E" w:rsidR="00FC390C" w:rsidRPr="00FC390C" w:rsidRDefault="00FC390C" w:rsidP="00FC390C">
      <w:pPr>
        <w:pStyle w:val="ListParagraph"/>
      </w:pPr>
      <w:r w:rsidRPr="00FC390C">
        <w:t>Autoimmune blistering disease</w:t>
      </w:r>
      <w:r w:rsidR="00792991">
        <w:rPr>
          <w:vertAlign w:val="superscript"/>
        </w:rPr>
        <w:t>19</w:t>
      </w:r>
      <w:r w:rsidRPr="00FC390C">
        <w:rPr>
          <w:vertAlign w:val="superscript"/>
        </w:rPr>
        <w:t>,2</w:t>
      </w:r>
      <w:r w:rsidR="00792991">
        <w:rPr>
          <w:vertAlign w:val="superscript"/>
        </w:rPr>
        <w:t>6</w:t>
      </w:r>
      <w:r w:rsidRPr="00FC390C">
        <w:rPr>
          <w:vertAlign w:val="superscript"/>
        </w:rPr>
        <w:t>,</w:t>
      </w:r>
      <w:r w:rsidR="00792991">
        <w:rPr>
          <w:vertAlign w:val="superscript"/>
        </w:rPr>
        <w:t>27</w:t>
      </w:r>
    </w:p>
    <w:p w14:paraId="7DECE785" w14:textId="264FEF5C" w:rsidR="00FC390C" w:rsidRPr="00FC390C" w:rsidRDefault="00FC390C" w:rsidP="00FC390C">
      <w:pPr>
        <w:pStyle w:val="ListParagraph"/>
        <w:rPr>
          <w:vertAlign w:val="superscript"/>
        </w:rPr>
      </w:pPr>
      <w:r w:rsidRPr="00FC390C">
        <w:t>Cryoglobulinemia</w:t>
      </w:r>
      <w:r w:rsidRPr="00FC390C">
        <w:rPr>
          <w:vertAlign w:val="superscript"/>
        </w:rPr>
        <w:t>1</w:t>
      </w:r>
      <w:r w:rsidR="00792991">
        <w:rPr>
          <w:vertAlign w:val="superscript"/>
        </w:rPr>
        <w:t>3-15</w:t>
      </w:r>
    </w:p>
    <w:p w14:paraId="047ADE18" w14:textId="6F3CBBE6" w:rsidR="00FC390C" w:rsidRPr="00FC390C" w:rsidRDefault="00FC390C" w:rsidP="00FC390C">
      <w:pPr>
        <w:pStyle w:val="ListParagraph"/>
      </w:pPr>
      <w:r w:rsidRPr="00FC390C">
        <w:t>Solid organ transplant</w:t>
      </w:r>
      <w:r w:rsidRPr="00FC390C">
        <w:rPr>
          <w:vertAlign w:val="superscript"/>
        </w:rPr>
        <w:t>1</w:t>
      </w:r>
      <w:r w:rsidR="00792991">
        <w:rPr>
          <w:vertAlign w:val="superscript"/>
        </w:rPr>
        <w:t>7</w:t>
      </w:r>
    </w:p>
    <w:p w14:paraId="78A6ED19" w14:textId="3540BB4C" w:rsidR="00FC390C" w:rsidRPr="00FC390C" w:rsidRDefault="00FC390C" w:rsidP="00FC390C">
      <w:pPr>
        <w:pStyle w:val="ListParagraph"/>
      </w:pPr>
      <w:r w:rsidRPr="00FC390C">
        <w:t>Opsoclonus-myoclonus-ataxia</w:t>
      </w:r>
      <w:r w:rsidRPr="00FC390C">
        <w:rPr>
          <w:vertAlign w:val="superscript"/>
        </w:rPr>
        <w:t>1</w:t>
      </w:r>
      <w:r w:rsidR="00792991">
        <w:rPr>
          <w:vertAlign w:val="superscript"/>
        </w:rPr>
        <w:t>8</w:t>
      </w:r>
    </w:p>
    <w:p w14:paraId="36E2C2A2" w14:textId="439B2CE2" w:rsidR="00FC390C" w:rsidRPr="00FC390C" w:rsidRDefault="00FC390C" w:rsidP="00FC390C">
      <w:pPr>
        <w:pStyle w:val="ListParagraph"/>
      </w:pPr>
      <w:r w:rsidRPr="00FC390C">
        <w:t>Systemic lupus erythematosus</w:t>
      </w:r>
      <w:r w:rsidRPr="00FC390C">
        <w:rPr>
          <w:vertAlign w:val="superscript"/>
        </w:rPr>
        <w:t>2</w:t>
      </w:r>
      <w:r w:rsidR="00792991">
        <w:rPr>
          <w:vertAlign w:val="superscript"/>
        </w:rPr>
        <w:t>0,21</w:t>
      </w:r>
    </w:p>
    <w:p w14:paraId="34517FB8" w14:textId="2B1E2144" w:rsidR="00FC390C" w:rsidRPr="00FC390C" w:rsidRDefault="00FC390C" w:rsidP="00FC390C">
      <w:pPr>
        <w:pStyle w:val="ListParagraph"/>
      </w:pPr>
      <w:r w:rsidRPr="00FC390C">
        <w:t>Myasthenia gravis, refractory</w:t>
      </w:r>
      <w:r w:rsidR="00792991">
        <w:rPr>
          <w:vertAlign w:val="superscript"/>
        </w:rPr>
        <w:t>28</w:t>
      </w:r>
    </w:p>
    <w:p w14:paraId="359D7888" w14:textId="1149E77D" w:rsidR="00FC390C" w:rsidRPr="00FC390C" w:rsidRDefault="00FC390C" w:rsidP="00FC390C">
      <w:pPr>
        <w:pStyle w:val="ListParagraph"/>
      </w:pPr>
      <w:r w:rsidRPr="00FC390C">
        <w:t>Membranous nephropathy</w:t>
      </w:r>
      <w:r w:rsidRPr="00FC390C">
        <w:rPr>
          <w:vertAlign w:val="superscript"/>
        </w:rPr>
        <w:t>3</w:t>
      </w:r>
      <w:r w:rsidR="00792991">
        <w:rPr>
          <w:vertAlign w:val="superscript"/>
        </w:rPr>
        <w:t>3</w:t>
      </w:r>
    </w:p>
    <w:p w14:paraId="16C2D2F7" w14:textId="5B425DEE" w:rsidR="00FC390C" w:rsidRPr="00FC390C" w:rsidRDefault="00FC390C" w:rsidP="00FC390C">
      <w:pPr>
        <w:pStyle w:val="ListParagraph"/>
      </w:pPr>
      <w:r w:rsidRPr="00FC390C">
        <w:t>For other compendial uses, refer to Rituxan-</w:t>
      </w:r>
      <w:proofErr w:type="spellStart"/>
      <w:r w:rsidRPr="00FC390C">
        <w:t>Ruxience</w:t>
      </w:r>
      <w:proofErr w:type="spellEnd"/>
      <w:r w:rsidRPr="00FC390C">
        <w:t>-</w:t>
      </w:r>
      <w:proofErr w:type="spellStart"/>
      <w:r w:rsidRPr="00FC390C">
        <w:t>Truxima</w:t>
      </w:r>
      <w:proofErr w:type="spellEnd"/>
      <w:r w:rsidRPr="00FC390C">
        <w:t>-</w:t>
      </w:r>
      <w:proofErr w:type="spellStart"/>
      <w:r w:rsidRPr="00FC390C">
        <w:t>Riabni</w:t>
      </w:r>
      <w:proofErr w:type="spellEnd"/>
      <w:r w:rsidRPr="00FC390C">
        <w:t>-Oncology SGM</w:t>
      </w:r>
      <w:r w:rsidR="00792991">
        <w:t>.</w:t>
      </w:r>
    </w:p>
    <w:p w14:paraId="2B3D0CE5" w14:textId="63859570" w:rsidR="00FC390C" w:rsidRPr="00FC390C" w:rsidRDefault="00FC390C" w:rsidP="001B0A92">
      <w:pPr>
        <w:pStyle w:val="BodyText"/>
      </w:pPr>
      <w:r w:rsidRPr="00FC390C">
        <w:t>All other indications are considered experimental/investigational and not medically necessary.</w:t>
      </w:r>
    </w:p>
    <w:p w14:paraId="4F519BE9" w14:textId="3A60B643" w:rsidR="00474E9A" w:rsidRDefault="00474E9A" w:rsidP="00FC390C">
      <w:pPr>
        <w:pStyle w:val="Heading2"/>
      </w:pPr>
      <w:r>
        <w:t>Documentation</w:t>
      </w:r>
    </w:p>
    <w:p w14:paraId="1EE46D2E" w14:textId="67BF6047" w:rsidR="001B0A92" w:rsidRPr="001B0A92" w:rsidRDefault="001B0A92" w:rsidP="001B0A92">
      <w:pPr>
        <w:pStyle w:val="BodyText"/>
      </w:pPr>
      <w:r w:rsidRPr="001B0A92">
        <w:t>Submission of the following information is necessary to initiate the prior authorization review</w:t>
      </w:r>
      <w:r>
        <w:t>:</w:t>
      </w:r>
    </w:p>
    <w:p w14:paraId="152432A0" w14:textId="38CE4B6C" w:rsidR="001B0A92" w:rsidRPr="001B0A92" w:rsidRDefault="001B0A92" w:rsidP="001B0A92">
      <w:pPr>
        <w:pStyle w:val="Heading3"/>
      </w:pPr>
      <w:r w:rsidRPr="001B0A92">
        <w:t>Rheumatoid arthritis (RA)</w:t>
      </w:r>
    </w:p>
    <w:p w14:paraId="28B6EAA2" w14:textId="0CACF553" w:rsidR="001B0A92" w:rsidRPr="001B0A92" w:rsidRDefault="001B0A92" w:rsidP="001B0A92">
      <w:pPr>
        <w:pStyle w:val="Heading4"/>
      </w:pPr>
      <w:r w:rsidRPr="001B0A92">
        <w:t>Initial requests</w:t>
      </w:r>
    </w:p>
    <w:p w14:paraId="7D974AFA" w14:textId="77777777" w:rsidR="001B0A92" w:rsidRDefault="001B0A92" w:rsidP="001B0A92">
      <w:pPr>
        <w:pStyle w:val="ListParagraph"/>
      </w:pPr>
      <w:r w:rsidRPr="001B0A92">
        <w:t>Chart notes, medical record documentation, or claims history supporting previous medications tried (if applicable), including response to therapy. If therapy is not advisable, documentation of clinical reason to avoid therapy.</w:t>
      </w:r>
    </w:p>
    <w:p w14:paraId="12539705" w14:textId="06AB8844" w:rsidR="001B0A92" w:rsidRPr="001B0A92" w:rsidRDefault="001B0A92" w:rsidP="001B0A92">
      <w:pPr>
        <w:pStyle w:val="ListParagraph"/>
      </w:pPr>
      <w:r w:rsidRPr="001B0A92">
        <w:t>Laboratory results, chart notes, or medical record documentation of biomarker testing (i.e., rheumatoid factor [RF], anti-cyclic citrullinated peptide [anti-CCP], and C-reactive protein [CRP] and/or erythrocyte sedimentation rate [ESR]) (if applicable).</w:t>
      </w:r>
    </w:p>
    <w:p w14:paraId="4B03548F" w14:textId="77777777" w:rsidR="001B0A92" w:rsidRDefault="001B0A92" w:rsidP="001B0A92">
      <w:pPr>
        <w:pStyle w:val="Heading4"/>
      </w:pPr>
      <w:r w:rsidRPr="001B0A92">
        <w:t>Continuation requests</w:t>
      </w:r>
    </w:p>
    <w:p w14:paraId="2BD5551D" w14:textId="64FCA2ED" w:rsidR="001B0A92" w:rsidRPr="001B0A92" w:rsidRDefault="001B0A92" w:rsidP="001B0A92">
      <w:pPr>
        <w:pStyle w:val="BodyText"/>
      </w:pPr>
      <w:r w:rsidRPr="001B0A92">
        <w:t>Chart notes or medical record documentation supporting positive clinical response.</w:t>
      </w:r>
    </w:p>
    <w:p w14:paraId="498A129B" w14:textId="77777777" w:rsidR="005135A4" w:rsidRDefault="001B0A92" w:rsidP="005135A4">
      <w:pPr>
        <w:pStyle w:val="Heading3"/>
      </w:pPr>
      <w:proofErr w:type="spellStart"/>
      <w:r w:rsidRPr="001B0A92">
        <w:t>Sjögren’s</w:t>
      </w:r>
      <w:proofErr w:type="spellEnd"/>
      <w:r w:rsidRPr="001B0A92">
        <w:t xml:space="preserve"> syndrome, cryoglobulinemia, opsoclonus-myoclonus-ataxia, and systemic lupus erythematosus (initial requests only)</w:t>
      </w:r>
    </w:p>
    <w:p w14:paraId="1C86F8F3" w14:textId="1CE648F8" w:rsidR="001B0A92" w:rsidRDefault="001B0A92" w:rsidP="001B0A92">
      <w:pPr>
        <w:pStyle w:val="BodyText"/>
        <w:rPr>
          <w:b/>
          <w:bCs/>
        </w:rPr>
      </w:pPr>
      <w:r w:rsidRPr="001B0A92">
        <w:t>Chart notes, medical record documentation, or claims history supporting previous medications tried, including response to therapy.</w:t>
      </w:r>
    </w:p>
    <w:p w14:paraId="68F6DA17" w14:textId="443F30E5" w:rsidR="005135A4" w:rsidRDefault="005135A4" w:rsidP="001B0A92">
      <w:pPr>
        <w:pStyle w:val="Heading2"/>
      </w:pPr>
      <w:r>
        <w:t>Prescriber Specialties</w:t>
      </w:r>
    </w:p>
    <w:p w14:paraId="3E0588C0" w14:textId="77777777" w:rsidR="005135A4" w:rsidRPr="005135A4" w:rsidRDefault="005135A4" w:rsidP="005135A4">
      <w:pPr>
        <w:pStyle w:val="BodyText"/>
      </w:pPr>
      <w:r w:rsidRPr="005135A4">
        <w:t>This medication must be prescribed by or in consultation with one of the following:</w:t>
      </w:r>
    </w:p>
    <w:p w14:paraId="755BF6CD" w14:textId="0E0D7683" w:rsidR="005135A4" w:rsidRPr="005135A4" w:rsidRDefault="005135A4" w:rsidP="005135A4">
      <w:pPr>
        <w:pStyle w:val="ListParagraph"/>
      </w:pPr>
      <w:r w:rsidRPr="005135A4">
        <w:t>RA, GPA (Wegener’s granulomatosis), MPA, Churg-Strauss, pauci-immune glomerulonephritis, SLE: rheumatologist, immunologist, nephrologist</w:t>
      </w:r>
    </w:p>
    <w:p w14:paraId="64181A7F" w14:textId="30E03CB5" w:rsidR="005135A4" w:rsidRPr="005135A4" w:rsidRDefault="005135A4" w:rsidP="005135A4">
      <w:pPr>
        <w:pStyle w:val="ListParagraph"/>
      </w:pPr>
      <w:r w:rsidRPr="005135A4">
        <w:t>Sjogren’s syndrome: rheumatologist, ophthalmologist, immunologist</w:t>
      </w:r>
    </w:p>
    <w:p w14:paraId="0BBD5614" w14:textId="60210094" w:rsidR="005135A4" w:rsidRPr="005135A4" w:rsidRDefault="005135A4" w:rsidP="005135A4">
      <w:pPr>
        <w:pStyle w:val="ListParagraph"/>
      </w:pPr>
      <w:r w:rsidRPr="005135A4">
        <w:t>Multiple sclerosis, NMOSD, myasthenia gravis, opsoclonus-myoclonus-ataxia: neurologist, immunologist, rheumatologist</w:t>
      </w:r>
    </w:p>
    <w:p w14:paraId="799BEBDE" w14:textId="6CD16C7A" w:rsidR="005135A4" w:rsidRPr="005135A4" w:rsidRDefault="005135A4" w:rsidP="005135A4">
      <w:pPr>
        <w:pStyle w:val="ListParagraph"/>
      </w:pPr>
      <w:r w:rsidRPr="005135A4">
        <w:t>Autoimmune blistering disease: dermatologist, immunologist</w:t>
      </w:r>
    </w:p>
    <w:p w14:paraId="6DB4A319" w14:textId="43DACA2C" w:rsidR="005135A4" w:rsidRPr="005135A4" w:rsidRDefault="005135A4" w:rsidP="005135A4">
      <w:pPr>
        <w:pStyle w:val="ListParagraph"/>
      </w:pPr>
      <w:r w:rsidRPr="005135A4">
        <w:t xml:space="preserve">Cryoglobulinemia: hematologist, rheumatologist, neurologist, nephrologist </w:t>
      </w:r>
    </w:p>
    <w:p w14:paraId="45E1F53C" w14:textId="4DD4ADE8" w:rsidR="005135A4" w:rsidRPr="005135A4" w:rsidRDefault="005135A4" w:rsidP="005135A4">
      <w:pPr>
        <w:pStyle w:val="ListParagraph"/>
      </w:pPr>
      <w:r w:rsidRPr="005135A4">
        <w:t>Solid organ transplant: immunologist, transplant specialist</w:t>
      </w:r>
    </w:p>
    <w:p w14:paraId="084EABB1" w14:textId="602E6120" w:rsidR="005135A4" w:rsidRPr="005135A4" w:rsidRDefault="005135A4" w:rsidP="005135A4">
      <w:pPr>
        <w:pStyle w:val="ListParagraph"/>
      </w:pPr>
      <w:r w:rsidRPr="005135A4">
        <w:t>Membranous nephropathy: nephrologist</w:t>
      </w:r>
    </w:p>
    <w:p w14:paraId="666141EC" w14:textId="77777777" w:rsidR="005135A4" w:rsidRDefault="005135A4" w:rsidP="001B0A92">
      <w:pPr>
        <w:pStyle w:val="Heading2"/>
      </w:pPr>
      <w:r>
        <w:t>Exclusions</w:t>
      </w:r>
    </w:p>
    <w:p w14:paraId="0EAC0142" w14:textId="168B8229" w:rsidR="005135A4" w:rsidRDefault="005135A4" w:rsidP="005135A4">
      <w:pPr>
        <w:pStyle w:val="ListParagraph"/>
      </w:pPr>
      <w:r>
        <w:t>Coverage will not be provided for requests for the treatment of rheumatoid arthritis (RA) when planned date of administration is less than 16 weeks since date of last dose received.</w:t>
      </w:r>
    </w:p>
    <w:p w14:paraId="77B8E730" w14:textId="72CC3F51" w:rsidR="005135A4" w:rsidRDefault="005135A4" w:rsidP="005135A4">
      <w:pPr>
        <w:pStyle w:val="ListParagraph"/>
      </w:pPr>
      <w:r>
        <w:t xml:space="preserve">Member will not receive Rituxan, </w:t>
      </w:r>
      <w:proofErr w:type="spellStart"/>
      <w:r>
        <w:t>Ruxience</w:t>
      </w:r>
      <w:proofErr w:type="spellEnd"/>
      <w:r>
        <w:t xml:space="preserve">, </w:t>
      </w:r>
      <w:proofErr w:type="spellStart"/>
      <w:r>
        <w:t>Truxima</w:t>
      </w:r>
      <w:proofErr w:type="spellEnd"/>
      <w:r>
        <w:t xml:space="preserve">, or </w:t>
      </w:r>
      <w:proofErr w:type="spellStart"/>
      <w:r>
        <w:t>Riabni</w:t>
      </w:r>
      <w:proofErr w:type="spellEnd"/>
      <w:r>
        <w:t xml:space="preserve"> with any other biologic drug or targeted synthetic drug for RA.</w:t>
      </w:r>
    </w:p>
    <w:p w14:paraId="0B8A0EB5" w14:textId="5C0AD45B" w:rsidR="005135A4" w:rsidRDefault="005135A4" w:rsidP="005135A4">
      <w:pPr>
        <w:pStyle w:val="ListParagraph"/>
      </w:pPr>
      <w:r>
        <w:t xml:space="preserve">Member will not receive Rituxan, </w:t>
      </w:r>
      <w:proofErr w:type="spellStart"/>
      <w:r>
        <w:t>Ruxience</w:t>
      </w:r>
      <w:proofErr w:type="spellEnd"/>
      <w:r>
        <w:t xml:space="preserve">, </w:t>
      </w:r>
      <w:proofErr w:type="spellStart"/>
      <w:r>
        <w:t>Truxima</w:t>
      </w:r>
      <w:proofErr w:type="spellEnd"/>
      <w:r>
        <w:t xml:space="preserve">, or </w:t>
      </w:r>
      <w:proofErr w:type="spellStart"/>
      <w:r>
        <w:t>Riabni</w:t>
      </w:r>
      <w:proofErr w:type="spellEnd"/>
      <w:r>
        <w:t xml:space="preserve"> with other multiple sclerosis (MS) drugs excluding Ampyra.</w:t>
      </w:r>
    </w:p>
    <w:p w14:paraId="56880AC4" w14:textId="42CC498A" w:rsidR="005135A4" w:rsidRPr="005135A4" w:rsidRDefault="005135A4" w:rsidP="005135A4">
      <w:pPr>
        <w:pStyle w:val="ListParagraph"/>
      </w:pPr>
      <w:r>
        <w:t xml:space="preserve">Member will not use Rituxan, </w:t>
      </w:r>
      <w:proofErr w:type="spellStart"/>
      <w:r>
        <w:t>Ruxience</w:t>
      </w:r>
      <w:proofErr w:type="spellEnd"/>
      <w:r>
        <w:t xml:space="preserve">, </w:t>
      </w:r>
      <w:proofErr w:type="spellStart"/>
      <w:r>
        <w:t>Truxima</w:t>
      </w:r>
      <w:proofErr w:type="spellEnd"/>
      <w:r>
        <w:t xml:space="preserve">, or </w:t>
      </w:r>
      <w:proofErr w:type="spellStart"/>
      <w:r>
        <w:t>Riabni</w:t>
      </w:r>
      <w:proofErr w:type="spellEnd"/>
      <w:r>
        <w:t xml:space="preserve"> concomitantly with other biologics for the treatment of neuromyelitis </w:t>
      </w:r>
      <w:proofErr w:type="spellStart"/>
      <w:r>
        <w:t>optica</w:t>
      </w:r>
      <w:proofErr w:type="spellEnd"/>
      <w:r>
        <w:t>.</w:t>
      </w:r>
    </w:p>
    <w:p w14:paraId="23032D59" w14:textId="26AD6DFD" w:rsidR="00474E9A" w:rsidRDefault="00474E9A" w:rsidP="001B0A92">
      <w:pPr>
        <w:pStyle w:val="Heading2"/>
      </w:pPr>
      <w:r>
        <w:t>Coverage Criteria</w:t>
      </w:r>
    </w:p>
    <w:p w14:paraId="705EDA71" w14:textId="5BDD6D9B" w:rsidR="005135A4" w:rsidRPr="005135A4" w:rsidRDefault="005135A4" w:rsidP="005135A4">
      <w:pPr>
        <w:pStyle w:val="Heading3"/>
      </w:pPr>
      <w:r w:rsidRPr="005135A4">
        <w:t>Rheumatoid arthritis (RA)</w:t>
      </w:r>
      <w:r w:rsidRPr="005135A4">
        <w:rPr>
          <w:vertAlign w:val="superscript"/>
        </w:rPr>
        <w:t>1,2,4,</w:t>
      </w:r>
      <w:r w:rsidR="00A670A4">
        <w:rPr>
          <w:vertAlign w:val="superscript"/>
        </w:rPr>
        <w:t>7</w:t>
      </w:r>
      <w:r w:rsidRPr="005135A4">
        <w:rPr>
          <w:vertAlign w:val="superscript"/>
        </w:rPr>
        <w:t>-</w:t>
      </w:r>
      <w:r w:rsidR="00A670A4">
        <w:rPr>
          <w:vertAlign w:val="superscript"/>
        </w:rPr>
        <w:t>9</w:t>
      </w:r>
      <w:r w:rsidRPr="005135A4">
        <w:rPr>
          <w:vertAlign w:val="superscript"/>
        </w:rPr>
        <w:t>,2</w:t>
      </w:r>
      <w:r w:rsidR="00A670A4">
        <w:rPr>
          <w:vertAlign w:val="superscript"/>
        </w:rPr>
        <w:t>2</w:t>
      </w:r>
      <w:r w:rsidRPr="005135A4">
        <w:rPr>
          <w:vertAlign w:val="superscript"/>
        </w:rPr>
        <w:t>,2</w:t>
      </w:r>
      <w:r w:rsidR="00A670A4">
        <w:rPr>
          <w:vertAlign w:val="superscript"/>
        </w:rPr>
        <w:t>4,25</w:t>
      </w:r>
      <w:r w:rsidRPr="005135A4">
        <w:rPr>
          <w:vertAlign w:val="superscript"/>
        </w:rPr>
        <w:t>,2</w:t>
      </w:r>
      <w:r w:rsidR="00A670A4">
        <w:rPr>
          <w:vertAlign w:val="superscript"/>
        </w:rPr>
        <w:t>9</w:t>
      </w:r>
    </w:p>
    <w:p w14:paraId="01EF0B61" w14:textId="7B395B63" w:rsidR="005135A4" w:rsidRPr="005135A4" w:rsidRDefault="005135A4" w:rsidP="005135A4">
      <w:pPr>
        <w:pStyle w:val="BodyText"/>
      </w:pPr>
      <w:r w:rsidRPr="005135A4">
        <w:t>Authorization of 12 months may be granted for adults who have previously received a biologic or targeted synthetic drug (e.g., Rinvoq, Xeljanz) indicated for the treatment of moderately to severely active rheumatoid arthritis. The requested medication must be prescribed in combination with methotrexate (MTX) or leflunomide unless the member has a contraindication (see Appendix</w:t>
      </w:r>
      <w:r w:rsidR="00542CD6">
        <w:t xml:space="preserve"> section</w:t>
      </w:r>
      <w:r w:rsidRPr="005135A4">
        <w:t>) or intolerance to MTX or leflunomide.</w:t>
      </w:r>
    </w:p>
    <w:p w14:paraId="3253BDB6" w14:textId="42A6C258" w:rsidR="005135A4" w:rsidRPr="005135A4" w:rsidRDefault="005135A4" w:rsidP="005135A4">
      <w:pPr>
        <w:pStyle w:val="BodyText"/>
      </w:pPr>
      <w:r w:rsidRPr="005135A4">
        <w:t>Authorization of 12 months may be granted for treatment of adults with moderately to severely active RA in combination with MTX or leflunomide unless the member has a contraindication (see VII. Appendix) or intolerance to MTX or leflunomide when all of the following criteria are met:</w:t>
      </w:r>
    </w:p>
    <w:p w14:paraId="51A1AF8E" w14:textId="77CE319C" w:rsidR="005135A4" w:rsidRPr="005135A4" w:rsidRDefault="005135A4" w:rsidP="00542CD6">
      <w:pPr>
        <w:pStyle w:val="ListParagraph"/>
      </w:pPr>
      <w:r w:rsidRPr="005135A4">
        <w:t>The member meets either of the following criteria:</w:t>
      </w:r>
    </w:p>
    <w:p w14:paraId="42D8BC84" w14:textId="23A8C84F" w:rsidR="005135A4" w:rsidRPr="005135A4" w:rsidRDefault="005135A4" w:rsidP="00542CD6">
      <w:pPr>
        <w:pStyle w:val="ListParagraph"/>
        <w:numPr>
          <w:ilvl w:val="1"/>
          <w:numId w:val="21"/>
        </w:numPr>
      </w:pPr>
      <w:r w:rsidRPr="005135A4">
        <w:t>The member has been tested for either of the following biomarkers and the test was positive:</w:t>
      </w:r>
    </w:p>
    <w:p w14:paraId="0FC4FD4E" w14:textId="08CCE7A1" w:rsidR="005135A4" w:rsidRPr="005135A4" w:rsidRDefault="005135A4" w:rsidP="00542CD6">
      <w:pPr>
        <w:pStyle w:val="ListParagraph"/>
        <w:numPr>
          <w:ilvl w:val="2"/>
          <w:numId w:val="21"/>
        </w:numPr>
      </w:pPr>
      <w:r w:rsidRPr="005135A4">
        <w:t>Rheumatoid factor (RF)</w:t>
      </w:r>
    </w:p>
    <w:p w14:paraId="13365BA7" w14:textId="24FF7AB0" w:rsidR="005135A4" w:rsidRPr="005135A4" w:rsidRDefault="005135A4" w:rsidP="00542CD6">
      <w:pPr>
        <w:pStyle w:val="ListParagraph"/>
        <w:numPr>
          <w:ilvl w:val="2"/>
          <w:numId w:val="21"/>
        </w:numPr>
      </w:pPr>
      <w:r w:rsidRPr="005135A4">
        <w:t>Anti-cyclic citrullinated peptide (anti-CCP)</w:t>
      </w:r>
    </w:p>
    <w:p w14:paraId="2766BFA1" w14:textId="0BE7EA57" w:rsidR="005135A4" w:rsidRPr="005135A4" w:rsidRDefault="005135A4" w:rsidP="00F4135B">
      <w:pPr>
        <w:pStyle w:val="ListParagraph"/>
        <w:numPr>
          <w:ilvl w:val="1"/>
          <w:numId w:val="21"/>
        </w:numPr>
      </w:pPr>
      <w:r w:rsidRPr="005135A4">
        <w:t>The member has been tested for ALL of the following biomarkers:</w:t>
      </w:r>
    </w:p>
    <w:p w14:paraId="2BD2528A" w14:textId="7158AA4C" w:rsidR="005135A4" w:rsidRPr="005135A4" w:rsidRDefault="005135A4" w:rsidP="00F4135B">
      <w:pPr>
        <w:pStyle w:val="ListParagraph"/>
        <w:numPr>
          <w:ilvl w:val="2"/>
          <w:numId w:val="21"/>
        </w:numPr>
      </w:pPr>
      <w:r w:rsidRPr="005135A4">
        <w:t>RF</w:t>
      </w:r>
    </w:p>
    <w:p w14:paraId="3EB543D0" w14:textId="378FE2AA" w:rsidR="005135A4" w:rsidRPr="005135A4" w:rsidRDefault="005135A4" w:rsidP="00F4135B">
      <w:pPr>
        <w:pStyle w:val="ListParagraph"/>
        <w:numPr>
          <w:ilvl w:val="2"/>
          <w:numId w:val="21"/>
        </w:numPr>
      </w:pPr>
      <w:r w:rsidRPr="005135A4">
        <w:t>Anti-CCP</w:t>
      </w:r>
    </w:p>
    <w:p w14:paraId="4AF74792" w14:textId="05BB3574" w:rsidR="005135A4" w:rsidRPr="005135A4" w:rsidRDefault="005135A4" w:rsidP="00F4135B">
      <w:pPr>
        <w:pStyle w:val="ListParagraph"/>
        <w:numPr>
          <w:ilvl w:val="2"/>
          <w:numId w:val="21"/>
        </w:numPr>
      </w:pPr>
      <w:r w:rsidRPr="005135A4">
        <w:t>C-reactive protein (CRP) and/or erythrocyte sedimentation rate (ESR)</w:t>
      </w:r>
    </w:p>
    <w:p w14:paraId="0B81910C" w14:textId="5E5DAF4D" w:rsidR="005135A4" w:rsidRPr="005135A4" w:rsidRDefault="005135A4" w:rsidP="00542CD6">
      <w:pPr>
        <w:pStyle w:val="ListParagraph"/>
      </w:pPr>
      <w:r w:rsidRPr="005135A4">
        <w:t>The member meets either of the following criteria:</w:t>
      </w:r>
    </w:p>
    <w:p w14:paraId="04A62725" w14:textId="68C6537B" w:rsidR="005135A4" w:rsidRPr="005135A4" w:rsidRDefault="005135A4" w:rsidP="00F4135B">
      <w:pPr>
        <w:pStyle w:val="ListParagraph"/>
        <w:numPr>
          <w:ilvl w:val="1"/>
          <w:numId w:val="21"/>
        </w:numPr>
      </w:pPr>
      <w:r w:rsidRPr="005135A4">
        <w:t>The member has experienced an inadequate response to at least a 3-month trial of MTX despite adequate dosing (i.e., titrated to at least 15 mg/week); or</w:t>
      </w:r>
    </w:p>
    <w:p w14:paraId="7538693D" w14:textId="15F8BA19" w:rsidR="005135A4" w:rsidRPr="005135A4" w:rsidRDefault="005135A4" w:rsidP="00F4135B">
      <w:pPr>
        <w:pStyle w:val="ListParagraph"/>
        <w:numPr>
          <w:ilvl w:val="1"/>
          <w:numId w:val="21"/>
        </w:numPr>
      </w:pPr>
      <w:r w:rsidRPr="005135A4">
        <w:t>The member had an intolerable adverse effect or contraindication to MTX (</w:t>
      </w:r>
      <w:r w:rsidR="00542CD6">
        <w:t xml:space="preserve">see </w:t>
      </w:r>
      <w:r w:rsidRPr="005135A4">
        <w:t>Appendix</w:t>
      </w:r>
      <w:r w:rsidR="00542CD6">
        <w:t xml:space="preserve"> section</w:t>
      </w:r>
      <w:r w:rsidRPr="005135A4">
        <w:t>), and an inadequate response to another conventional drug (e.g., hydroxychloroquine, leflunomide, sulfasalazine).</w:t>
      </w:r>
    </w:p>
    <w:p w14:paraId="422D7C72" w14:textId="320C8095" w:rsidR="005135A4" w:rsidRPr="005135A4" w:rsidRDefault="005135A4" w:rsidP="005135A4">
      <w:pPr>
        <w:pStyle w:val="Heading3"/>
      </w:pPr>
      <w:r w:rsidRPr="005135A4">
        <w:t>Granulomatosis with polyangiitis (GPA) (Wegener’s granulomatosis) and microscopic polyangiitis (MPA) and Churg-Strauss and pauci-immune glomerulonephritis</w:t>
      </w:r>
      <w:r w:rsidRPr="005135A4">
        <w:rPr>
          <w:vertAlign w:val="superscript"/>
        </w:rPr>
        <w:t>1,2,2</w:t>
      </w:r>
      <w:r w:rsidR="00A670A4">
        <w:rPr>
          <w:vertAlign w:val="superscript"/>
        </w:rPr>
        <w:t>2</w:t>
      </w:r>
      <w:r w:rsidRPr="005135A4">
        <w:rPr>
          <w:vertAlign w:val="superscript"/>
        </w:rPr>
        <w:t>,2</w:t>
      </w:r>
      <w:r w:rsidR="00A670A4">
        <w:rPr>
          <w:vertAlign w:val="superscript"/>
        </w:rPr>
        <w:t>3</w:t>
      </w:r>
      <w:r w:rsidRPr="005135A4">
        <w:rPr>
          <w:vertAlign w:val="superscript"/>
        </w:rPr>
        <w:t>,3</w:t>
      </w:r>
      <w:r w:rsidR="00A670A4">
        <w:rPr>
          <w:vertAlign w:val="superscript"/>
        </w:rPr>
        <w:t>0</w:t>
      </w:r>
      <w:r w:rsidRPr="005135A4">
        <w:rPr>
          <w:vertAlign w:val="superscript"/>
        </w:rPr>
        <w:t>,3</w:t>
      </w:r>
      <w:r w:rsidR="00A670A4">
        <w:rPr>
          <w:vertAlign w:val="superscript"/>
        </w:rPr>
        <w:t>1</w:t>
      </w:r>
    </w:p>
    <w:p w14:paraId="737F2C1F" w14:textId="02BF8948" w:rsidR="005135A4" w:rsidRPr="005135A4" w:rsidRDefault="005135A4" w:rsidP="005135A4">
      <w:pPr>
        <w:pStyle w:val="BodyText"/>
      </w:pPr>
      <w:r w:rsidRPr="005135A4">
        <w:t>Authorization of 12 months may be granted for treatment of GPA, MPA, Churg-Strauss, or pauci-immune glomerulonephritis.</w:t>
      </w:r>
    </w:p>
    <w:p w14:paraId="70CC8D9B" w14:textId="78AA487A" w:rsidR="005135A4" w:rsidRPr="005135A4" w:rsidRDefault="005135A4" w:rsidP="005135A4">
      <w:pPr>
        <w:pStyle w:val="Heading3"/>
      </w:pPr>
      <w:proofErr w:type="spellStart"/>
      <w:r w:rsidRPr="005135A4">
        <w:t>Sjögren’s</w:t>
      </w:r>
      <w:proofErr w:type="spellEnd"/>
      <w:r w:rsidRPr="005135A4">
        <w:t xml:space="preserve"> syndrome</w:t>
      </w:r>
      <w:r w:rsidRPr="005135A4">
        <w:rPr>
          <w:vertAlign w:val="superscript"/>
        </w:rPr>
        <w:t>4-6</w:t>
      </w:r>
    </w:p>
    <w:p w14:paraId="1D9F511A" w14:textId="5E53DBFA" w:rsidR="005135A4" w:rsidRPr="005135A4" w:rsidRDefault="005135A4" w:rsidP="005135A4">
      <w:pPr>
        <w:pStyle w:val="BodyText"/>
      </w:pPr>
      <w:r w:rsidRPr="005135A4">
        <w:t xml:space="preserve">Authorization of 12 months may be granted for treatment of </w:t>
      </w:r>
      <w:proofErr w:type="spellStart"/>
      <w:r w:rsidRPr="005135A4">
        <w:t>Sjögren’s</w:t>
      </w:r>
      <w:proofErr w:type="spellEnd"/>
      <w:r w:rsidRPr="005135A4">
        <w:t xml:space="preserve"> syndrome when corticosteroids and other immunosuppressive agents were ineffective.</w:t>
      </w:r>
    </w:p>
    <w:p w14:paraId="03F708EC" w14:textId="01EF1BD9" w:rsidR="005135A4" w:rsidRPr="005135A4" w:rsidRDefault="005135A4" w:rsidP="005135A4">
      <w:pPr>
        <w:pStyle w:val="Heading3"/>
      </w:pPr>
      <w:r w:rsidRPr="005135A4">
        <w:t>Multiple sclerosis</w:t>
      </w:r>
      <w:r w:rsidRPr="005135A4">
        <w:rPr>
          <w:vertAlign w:val="superscript"/>
        </w:rPr>
        <w:t>4,1</w:t>
      </w:r>
      <w:r w:rsidR="00366CB4">
        <w:rPr>
          <w:vertAlign w:val="superscript"/>
        </w:rPr>
        <w:t>0</w:t>
      </w:r>
    </w:p>
    <w:p w14:paraId="143BFACD" w14:textId="10A94493" w:rsidR="005135A4" w:rsidRPr="005135A4" w:rsidRDefault="005135A4" w:rsidP="005135A4">
      <w:pPr>
        <w:pStyle w:val="BodyText"/>
      </w:pPr>
      <w:r w:rsidRPr="005135A4">
        <w:t>Authorization of 12 months may be granted for treatment of relapsing-remitting multiple sclerosis (RRMS).</w:t>
      </w:r>
    </w:p>
    <w:p w14:paraId="5C114152" w14:textId="732C64CE" w:rsidR="005135A4" w:rsidRPr="005135A4" w:rsidRDefault="005135A4" w:rsidP="00542CD6">
      <w:pPr>
        <w:pStyle w:val="Heading3"/>
      </w:pPr>
      <w:r w:rsidRPr="005135A4">
        <w:t xml:space="preserve">Neuromyelitis </w:t>
      </w:r>
      <w:proofErr w:type="spellStart"/>
      <w:r w:rsidRPr="005135A4">
        <w:t>optica</w:t>
      </w:r>
      <w:proofErr w:type="spellEnd"/>
      <w:r w:rsidRPr="005135A4">
        <w:t xml:space="preserve"> (i.e., neuromyelitis </w:t>
      </w:r>
      <w:proofErr w:type="spellStart"/>
      <w:r w:rsidRPr="005135A4">
        <w:t>optica</w:t>
      </w:r>
      <w:proofErr w:type="spellEnd"/>
      <w:r w:rsidRPr="005135A4">
        <w:t xml:space="preserve"> spectrum disorder, NMOSD, </w:t>
      </w:r>
      <w:proofErr w:type="spellStart"/>
      <w:r w:rsidRPr="005135A4">
        <w:t>Devic</w:t>
      </w:r>
      <w:proofErr w:type="spellEnd"/>
      <w:r w:rsidRPr="005135A4">
        <w:t xml:space="preserve"> Disease)</w:t>
      </w:r>
      <w:r w:rsidRPr="00542CD6">
        <w:rPr>
          <w:vertAlign w:val="superscript"/>
        </w:rPr>
        <w:t>1</w:t>
      </w:r>
      <w:r w:rsidR="00366CB4">
        <w:rPr>
          <w:vertAlign w:val="superscript"/>
        </w:rPr>
        <w:t>1,12</w:t>
      </w:r>
      <w:r w:rsidRPr="00542CD6">
        <w:rPr>
          <w:vertAlign w:val="superscript"/>
        </w:rPr>
        <w:t>,</w:t>
      </w:r>
      <w:r w:rsidR="00366CB4">
        <w:rPr>
          <w:vertAlign w:val="superscript"/>
        </w:rPr>
        <w:t>28,32</w:t>
      </w:r>
    </w:p>
    <w:p w14:paraId="33C834BF" w14:textId="39903BF7" w:rsidR="005135A4" w:rsidRPr="005135A4" w:rsidRDefault="005135A4" w:rsidP="005135A4">
      <w:pPr>
        <w:pStyle w:val="BodyText"/>
      </w:pPr>
      <w:r w:rsidRPr="005135A4">
        <w:t xml:space="preserve">Authorization of 12 months may be granted for treatment of neuromyelitis </w:t>
      </w:r>
      <w:proofErr w:type="spellStart"/>
      <w:r w:rsidRPr="005135A4">
        <w:t>optica</w:t>
      </w:r>
      <w:proofErr w:type="spellEnd"/>
      <w:r w:rsidRPr="005135A4">
        <w:t xml:space="preserve"> (i.e., neuromyelitis </w:t>
      </w:r>
      <w:proofErr w:type="spellStart"/>
      <w:r w:rsidRPr="005135A4">
        <w:t>optica</w:t>
      </w:r>
      <w:proofErr w:type="spellEnd"/>
      <w:r w:rsidRPr="005135A4">
        <w:t xml:space="preserve"> spectrum disorder, NMOSD, </w:t>
      </w:r>
      <w:proofErr w:type="spellStart"/>
      <w:r w:rsidRPr="005135A4">
        <w:t>Devic</w:t>
      </w:r>
      <w:proofErr w:type="spellEnd"/>
      <w:r w:rsidRPr="005135A4">
        <w:t xml:space="preserve"> disease).</w:t>
      </w:r>
    </w:p>
    <w:p w14:paraId="229C6279" w14:textId="448E99F6" w:rsidR="005135A4" w:rsidRPr="005135A4" w:rsidRDefault="005135A4" w:rsidP="00F4135B">
      <w:pPr>
        <w:pStyle w:val="Heading3"/>
      </w:pPr>
      <w:r w:rsidRPr="005135A4">
        <w:t>Autoimmune blistering disease</w:t>
      </w:r>
      <w:r w:rsidR="00366CB4">
        <w:rPr>
          <w:vertAlign w:val="superscript"/>
        </w:rPr>
        <w:t>19</w:t>
      </w:r>
      <w:r w:rsidRPr="00F4135B">
        <w:rPr>
          <w:vertAlign w:val="superscript"/>
        </w:rPr>
        <w:t>,2</w:t>
      </w:r>
      <w:r w:rsidR="00366CB4">
        <w:rPr>
          <w:vertAlign w:val="superscript"/>
        </w:rPr>
        <w:t>6</w:t>
      </w:r>
      <w:r w:rsidRPr="00F4135B">
        <w:rPr>
          <w:vertAlign w:val="superscript"/>
        </w:rPr>
        <w:t>,</w:t>
      </w:r>
      <w:r w:rsidR="00366CB4">
        <w:rPr>
          <w:vertAlign w:val="superscript"/>
        </w:rPr>
        <w:t>27</w:t>
      </w:r>
    </w:p>
    <w:p w14:paraId="647A82B0" w14:textId="77777777" w:rsidR="005135A4" w:rsidRPr="005135A4" w:rsidRDefault="005135A4" w:rsidP="005135A4">
      <w:pPr>
        <w:pStyle w:val="BodyText"/>
      </w:pPr>
      <w:r w:rsidRPr="005135A4">
        <w:t xml:space="preserve">Authorization of 12 months may be granted for treatment of autoimmune blistering disease (e.g., pemphigus vulgaris, pemphigus foliaceus, bullous pemphigoid, cicatricial pemphigoid, epidermolysis bullosa </w:t>
      </w:r>
      <w:proofErr w:type="spellStart"/>
      <w:r w:rsidRPr="005135A4">
        <w:t>acquisita</w:t>
      </w:r>
      <w:proofErr w:type="spellEnd"/>
      <w:r w:rsidRPr="005135A4">
        <w:t xml:space="preserve"> and paraneoplastic pemphigus).</w:t>
      </w:r>
    </w:p>
    <w:p w14:paraId="21BC4BEE" w14:textId="1A3E0032" w:rsidR="005135A4" w:rsidRPr="00F4135B" w:rsidRDefault="005135A4" w:rsidP="00F4135B">
      <w:pPr>
        <w:pStyle w:val="Heading3"/>
        <w:rPr>
          <w:vertAlign w:val="superscript"/>
        </w:rPr>
      </w:pPr>
      <w:r w:rsidRPr="005135A4">
        <w:t>Cryoglobulinemia</w:t>
      </w:r>
      <w:r w:rsidRPr="00F4135B">
        <w:rPr>
          <w:vertAlign w:val="superscript"/>
        </w:rPr>
        <w:t>1</w:t>
      </w:r>
      <w:r w:rsidR="00366CB4">
        <w:rPr>
          <w:vertAlign w:val="superscript"/>
        </w:rPr>
        <w:t>3</w:t>
      </w:r>
      <w:r w:rsidRPr="00F4135B">
        <w:rPr>
          <w:vertAlign w:val="superscript"/>
        </w:rPr>
        <w:t>-1</w:t>
      </w:r>
      <w:r w:rsidR="00366CB4">
        <w:rPr>
          <w:vertAlign w:val="superscript"/>
        </w:rPr>
        <w:t>5</w:t>
      </w:r>
    </w:p>
    <w:p w14:paraId="1FF72727" w14:textId="35F5ADD1" w:rsidR="005135A4" w:rsidRPr="005135A4" w:rsidRDefault="005135A4" w:rsidP="005135A4">
      <w:pPr>
        <w:pStyle w:val="BodyText"/>
      </w:pPr>
      <w:r w:rsidRPr="005135A4">
        <w:t>Authorization of 12 months may be granted for treatment of cryoglobulinemia when corticosteroids and other immunosuppressive agents were ineffective.</w:t>
      </w:r>
    </w:p>
    <w:p w14:paraId="67A5CDB8" w14:textId="53469D0A" w:rsidR="005135A4" w:rsidRPr="005135A4" w:rsidRDefault="005135A4" w:rsidP="00F4135B">
      <w:pPr>
        <w:pStyle w:val="Heading3"/>
      </w:pPr>
      <w:r w:rsidRPr="005135A4">
        <w:t>Solid organ transplant</w:t>
      </w:r>
      <w:r w:rsidRPr="00F4135B">
        <w:rPr>
          <w:vertAlign w:val="superscript"/>
        </w:rPr>
        <w:t>1</w:t>
      </w:r>
      <w:r w:rsidR="00366CB4">
        <w:rPr>
          <w:vertAlign w:val="superscript"/>
        </w:rPr>
        <w:t>7</w:t>
      </w:r>
    </w:p>
    <w:p w14:paraId="399B2BC0" w14:textId="676611F9" w:rsidR="005135A4" w:rsidRPr="005135A4" w:rsidRDefault="005135A4" w:rsidP="005135A4">
      <w:pPr>
        <w:pStyle w:val="BodyText"/>
      </w:pPr>
      <w:r w:rsidRPr="005135A4">
        <w:t>Authorization of 3 months may be granted for treatment of solid organ transplant and prevention of antibody-mediated rejection in solid organ transplant.</w:t>
      </w:r>
    </w:p>
    <w:p w14:paraId="10EA3347" w14:textId="3A07B50F" w:rsidR="005135A4" w:rsidRPr="005135A4" w:rsidRDefault="005135A4" w:rsidP="00F4135B">
      <w:pPr>
        <w:pStyle w:val="Heading3"/>
      </w:pPr>
      <w:r w:rsidRPr="005135A4">
        <w:t>Opsoclonus-myoclonus-ataxia</w:t>
      </w:r>
      <w:r w:rsidRPr="00F4135B">
        <w:rPr>
          <w:vertAlign w:val="superscript"/>
        </w:rPr>
        <w:t>1</w:t>
      </w:r>
      <w:r w:rsidR="00366CB4">
        <w:rPr>
          <w:vertAlign w:val="superscript"/>
        </w:rPr>
        <w:t>8</w:t>
      </w:r>
    </w:p>
    <w:p w14:paraId="03BDEC0F" w14:textId="77777777" w:rsidR="005135A4" w:rsidRPr="005135A4" w:rsidRDefault="005135A4" w:rsidP="005135A4">
      <w:pPr>
        <w:pStyle w:val="BodyText"/>
      </w:pPr>
      <w:r w:rsidRPr="005135A4">
        <w:t>Authorization of 12 months may be granted for treatment of opsoclonus-myoclonus-ataxia associated with neuroblastoma when the member is refractory to steroids and chemotherapy.</w:t>
      </w:r>
    </w:p>
    <w:p w14:paraId="64181DEE" w14:textId="0CBE9CF1" w:rsidR="005135A4" w:rsidRPr="005135A4" w:rsidRDefault="005135A4" w:rsidP="00F4135B">
      <w:pPr>
        <w:pStyle w:val="Heading3"/>
      </w:pPr>
      <w:r w:rsidRPr="005135A4">
        <w:t>Systemic Lupus Erythematosus</w:t>
      </w:r>
      <w:r w:rsidRPr="00F4135B">
        <w:rPr>
          <w:vertAlign w:val="superscript"/>
        </w:rPr>
        <w:t>2</w:t>
      </w:r>
      <w:r w:rsidR="00366CB4">
        <w:rPr>
          <w:vertAlign w:val="superscript"/>
        </w:rPr>
        <w:t>0,21</w:t>
      </w:r>
    </w:p>
    <w:p w14:paraId="397F53ED" w14:textId="4CF04733" w:rsidR="005135A4" w:rsidRPr="005135A4" w:rsidRDefault="005135A4" w:rsidP="005135A4">
      <w:pPr>
        <w:pStyle w:val="BodyText"/>
      </w:pPr>
      <w:r w:rsidRPr="005135A4">
        <w:t>Authorization of 12 months may be granted for the treatment of systemic lupus erythematosus that is refractory to immunosuppressive therapy.</w:t>
      </w:r>
    </w:p>
    <w:p w14:paraId="64C37DAB" w14:textId="245538AF" w:rsidR="005135A4" w:rsidRPr="005135A4" w:rsidRDefault="005135A4" w:rsidP="00F4135B">
      <w:pPr>
        <w:pStyle w:val="Heading3"/>
      </w:pPr>
      <w:r w:rsidRPr="005135A4">
        <w:t>Myasthenia Gravis</w:t>
      </w:r>
      <w:r w:rsidR="00366CB4">
        <w:rPr>
          <w:vertAlign w:val="superscript"/>
        </w:rPr>
        <w:t>28</w:t>
      </w:r>
    </w:p>
    <w:p w14:paraId="62DEFDEA" w14:textId="4271F12A" w:rsidR="005135A4" w:rsidRPr="005135A4" w:rsidRDefault="005135A4" w:rsidP="005135A4">
      <w:pPr>
        <w:pStyle w:val="BodyText"/>
      </w:pPr>
      <w:r w:rsidRPr="005135A4">
        <w:t>Authorization of 12 months may be granted for treatment of refractory myasthenia gravis.</w:t>
      </w:r>
    </w:p>
    <w:p w14:paraId="1FBFF09F" w14:textId="79CFA7D0" w:rsidR="005135A4" w:rsidRPr="005135A4" w:rsidRDefault="005135A4" w:rsidP="00F4135B">
      <w:pPr>
        <w:pStyle w:val="Heading3"/>
      </w:pPr>
      <w:r w:rsidRPr="005135A4">
        <w:t>Membranous nephropathy</w:t>
      </w:r>
      <w:r w:rsidRPr="00F4135B">
        <w:rPr>
          <w:vertAlign w:val="superscript"/>
        </w:rPr>
        <w:t>3</w:t>
      </w:r>
      <w:r w:rsidR="00366CB4">
        <w:rPr>
          <w:vertAlign w:val="superscript"/>
        </w:rPr>
        <w:t>3</w:t>
      </w:r>
    </w:p>
    <w:p w14:paraId="414ACEC7" w14:textId="77777777" w:rsidR="005135A4" w:rsidRDefault="005135A4" w:rsidP="005135A4">
      <w:pPr>
        <w:pStyle w:val="BodyText"/>
        <w:rPr>
          <w:b/>
          <w:bCs/>
        </w:rPr>
      </w:pPr>
      <w:r w:rsidRPr="005135A4">
        <w:t>Authorization of 12 months may be granted for treatment of membranous nephropathy when the member is at moderate to high risk for disease progression.</w:t>
      </w:r>
    </w:p>
    <w:p w14:paraId="21327226" w14:textId="39565D6C" w:rsidR="00474E9A" w:rsidRDefault="00474E9A" w:rsidP="005135A4">
      <w:pPr>
        <w:pStyle w:val="Heading2"/>
        <w:tabs>
          <w:tab w:val="left" w:pos="9885"/>
        </w:tabs>
      </w:pPr>
      <w:r>
        <w:t>Continuation of Therapy</w:t>
      </w:r>
    </w:p>
    <w:p w14:paraId="7BB28A3B" w14:textId="5CC16F21" w:rsidR="00F4135B" w:rsidRPr="00F4135B" w:rsidRDefault="00F4135B" w:rsidP="00F4135B">
      <w:pPr>
        <w:pStyle w:val="Heading3"/>
      </w:pPr>
      <w:r w:rsidRPr="00F4135B">
        <w:t>Rheumatoid arthritis</w:t>
      </w:r>
      <w:r w:rsidRPr="00F4135B">
        <w:rPr>
          <w:vertAlign w:val="superscript"/>
        </w:rPr>
        <w:t>1,2,4,</w:t>
      </w:r>
      <w:r w:rsidR="00366CB4">
        <w:rPr>
          <w:vertAlign w:val="superscript"/>
        </w:rPr>
        <w:t>7-9</w:t>
      </w:r>
      <w:r w:rsidRPr="00F4135B">
        <w:rPr>
          <w:vertAlign w:val="superscript"/>
        </w:rPr>
        <w:t>,2</w:t>
      </w:r>
      <w:r w:rsidR="00366CB4">
        <w:rPr>
          <w:vertAlign w:val="superscript"/>
        </w:rPr>
        <w:t>2</w:t>
      </w:r>
      <w:r w:rsidRPr="00F4135B">
        <w:rPr>
          <w:vertAlign w:val="superscript"/>
        </w:rPr>
        <w:t>,</w:t>
      </w:r>
      <w:r w:rsidR="00366CB4">
        <w:rPr>
          <w:vertAlign w:val="superscript"/>
        </w:rPr>
        <w:t>24,25</w:t>
      </w:r>
    </w:p>
    <w:p w14:paraId="0B6E0255" w14:textId="77777777" w:rsidR="00F4135B" w:rsidRPr="00F4135B" w:rsidRDefault="00F4135B" w:rsidP="00F4135B">
      <w:pPr>
        <w:pStyle w:val="BodyText"/>
      </w:pPr>
      <w:r w:rsidRPr="00F4135B">
        <w:t xml:space="preserve">Authorization of 12 months may be granted for continued treatment in all adult members (including new members) who are using the requested medication for moderately to severely active rheumatoid arthritis and who achieve or maintain a positive clinical response after at least two doses of therapy with Rituxan, </w:t>
      </w:r>
      <w:proofErr w:type="spellStart"/>
      <w:r w:rsidRPr="00F4135B">
        <w:t>Ruxience</w:t>
      </w:r>
      <w:proofErr w:type="spellEnd"/>
      <w:r w:rsidRPr="00F4135B">
        <w:t xml:space="preserve">, </w:t>
      </w:r>
      <w:proofErr w:type="spellStart"/>
      <w:r w:rsidRPr="00F4135B">
        <w:t>Truxima</w:t>
      </w:r>
      <w:proofErr w:type="spellEnd"/>
      <w:r w:rsidRPr="00F4135B">
        <w:t xml:space="preserve">, or </w:t>
      </w:r>
      <w:proofErr w:type="spellStart"/>
      <w:r w:rsidRPr="00F4135B">
        <w:t>Riabni</w:t>
      </w:r>
      <w:proofErr w:type="spellEnd"/>
      <w:r w:rsidRPr="00F4135B">
        <w:t xml:space="preserve"> as evidenced by disease activity improvement of at least 20% from baseline in tender joint count, swollen joint count, pain, or disability.</w:t>
      </w:r>
    </w:p>
    <w:p w14:paraId="6802C00A" w14:textId="1190CDEB" w:rsidR="00F4135B" w:rsidRPr="00F4135B" w:rsidRDefault="00F4135B" w:rsidP="00F4135B">
      <w:pPr>
        <w:pStyle w:val="Heading3"/>
      </w:pPr>
      <w:r w:rsidRPr="00F4135B">
        <w:t>Multiple Sclerosis</w:t>
      </w:r>
    </w:p>
    <w:p w14:paraId="4C8E3532" w14:textId="77777777" w:rsidR="00F4135B" w:rsidRPr="00F4135B" w:rsidRDefault="00F4135B" w:rsidP="00F4135B">
      <w:pPr>
        <w:pStyle w:val="BodyText"/>
      </w:pPr>
      <w:r w:rsidRPr="00F4135B">
        <w:t xml:space="preserve">Authorization of 12 months may be granted for continued treatment in members requesting reauthorization for relapsing-remitting multiple sclerosis (RRMS) who are experiencing disease stability or improvement while receiving Rituxan, </w:t>
      </w:r>
      <w:proofErr w:type="spellStart"/>
      <w:r w:rsidRPr="00F4135B">
        <w:t>Ruxience</w:t>
      </w:r>
      <w:proofErr w:type="spellEnd"/>
      <w:r w:rsidRPr="00F4135B">
        <w:t xml:space="preserve">, </w:t>
      </w:r>
      <w:proofErr w:type="spellStart"/>
      <w:r w:rsidRPr="00F4135B">
        <w:t>Truxima</w:t>
      </w:r>
      <w:proofErr w:type="spellEnd"/>
      <w:r w:rsidRPr="00F4135B">
        <w:t xml:space="preserve">, or </w:t>
      </w:r>
      <w:proofErr w:type="spellStart"/>
      <w:r w:rsidRPr="00F4135B">
        <w:t>Riabni</w:t>
      </w:r>
      <w:proofErr w:type="spellEnd"/>
      <w:r w:rsidRPr="00F4135B">
        <w:t>.</w:t>
      </w:r>
    </w:p>
    <w:p w14:paraId="1A40ED6D" w14:textId="6AFE79F7" w:rsidR="00F4135B" w:rsidRPr="00F4135B" w:rsidRDefault="00F4135B" w:rsidP="00F4135B">
      <w:pPr>
        <w:pStyle w:val="Heading3"/>
      </w:pPr>
      <w:r w:rsidRPr="00F4135B">
        <w:t>Other indications</w:t>
      </w:r>
    </w:p>
    <w:p w14:paraId="2FCC9A32" w14:textId="77777777" w:rsidR="00F4135B" w:rsidRDefault="00F4135B" w:rsidP="00F4135B">
      <w:pPr>
        <w:pStyle w:val="BodyText"/>
        <w:rPr>
          <w:b/>
          <w:bCs/>
        </w:rPr>
      </w:pPr>
      <w:r w:rsidRPr="00F4135B">
        <w:t>Authorization of 12 months may be granted for continued treatment in all members (including new members) requesting reauthorization who are receiving benefit from therapy.</w:t>
      </w:r>
    </w:p>
    <w:p w14:paraId="13C6336A" w14:textId="77777777" w:rsidR="00185CE6" w:rsidRDefault="00185CE6" w:rsidP="00F4135B">
      <w:pPr>
        <w:pStyle w:val="Heading2"/>
      </w:pPr>
      <w:r>
        <w:t>Appendix</w:t>
      </w:r>
    </w:p>
    <w:p w14:paraId="0AFDB8BF" w14:textId="5CE23FE0" w:rsidR="00457280" w:rsidRPr="00457280" w:rsidRDefault="00457280" w:rsidP="00457280">
      <w:pPr>
        <w:pStyle w:val="Heading3"/>
      </w:pPr>
      <w:r w:rsidRPr="00457280">
        <w:t>Examples of clinical reasons to avoid pharmacologic treatment with methotrexate or leflunomide</w:t>
      </w:r>
    </w:p>
    <w:p w14:paraId="42A53906" w14:textId="59325CA4" w:rsidR="00457280" w:rsidRPr="00457280" w:rsidRDefault="00457280" w:rsidP="00457280">
      <w:pPr>
        <w:pStyle w:val="ListParagraph"/>
      </w:pPr>
      <w:r w:rsidRPr="00457280">
        <w:t>Clinical diagnosis of alcohol use disorder, alcoholic liver disease or other chronic liver disease</w:t>
      </w:r>
    </w:p>
    <w:p w14:paraId="57897983" w14:textId="6EB963A4" w:rsidR="00457280" w:rsidRPr="00457280" w:rsidRDefault="00457280" w:rsidP="00457280">
      <w:pPr>
        <w:pStyle w:val="ListParagraph"/>
      </w:pPr>
      <w:r w:rsidRPr="00457280">
        <w:t>Drug interaction</w:t>
      </w:r>
    </w:p>
    <w:p w14:paraId="50078ABA" w14:textId="38444293" w:rsidR="00457280" w:rsidRPr="00457280" w:rsidRDefault="00457280" w:rsidP="00457280">
      <w:pPr>
        <w:pStyle w:val="ListParagraph"/>
      </w:pPr>
      <w:r w:rsidRPr="00457280">
        <w:t>Risk of treatment-related toxicity</w:t>
      </w:r>
    </w:p>
    <w:p w14:paraId="4C61F03D" w14:textId="2FD638E2" w:rsidR="00457280" w:rsidRPr="00457280" w:rsidRDefault="00457280" w:rsidP="00457280">
      <w:pPr>
        <w:pStyle w:val="ListParagraph"/>
      </w:pPr>
      <w:r w:rsidRPr="00457280">
        <w:t>Pregnancy or currently planning pregnancy</w:t>
      </w:r>
    </w:p>
    <w:p w14:paraId="644A38DD" w14:textId="593080AA" w:rsidR="00457280" w:rsidRPr="00457280" w:rsidRDefault="00457280" w:rsidP="00457280">
      <w:pPr>
        <w:pStyle w:val="ListParagraph"/>
      </w:pPr>
      <w:r w:rsidRPr="00457280">
        <w:t>Breastfeeding</w:t>
      </w:r>
    </w:p>
    <w:p w14:paraId="0E7454EC" w14:textId="34C4DDCA" w:rsidR="00457280" w:rsidRPr="00457280" w:rsidRDefault="00457280" w:rsidP="00457280">
      <w:pPr>
        <w:pStyle w:val="ListParagraph"/>
      </w:pPr>
      <w:r w:rsidRPr="00457280">
        <w:t>Significant comorbidity prohibits use of systemic agents (e.g., liver or kidney disease, blood dyscrasias, uncontrolled hypertension)</w:t>
      </w:r>
    </w:p>
    <w:p w14:paraId="1FEAA506" w14:textId="67D828BC" w:rsidR="00457280" w:rsidRPr="00457280" w:rsidRDefault="00457280" w:rsidP="00457280">
      <w:pPr>
        <w:pStyle w:val="ListParagraph"/>
      </w:pPr>
      <w:r w:rsidRPr="00457280">
        <w:t>Hypersensitivity</w:t>
      </w:r>
    </w:p>
    <w:p w14:paraId="4648C234" w14:textId="21591CB2" w:rsidR="00457280" w:rsidRPr="00457280" w:rsidRDefault="00457280" w:rsidP="00457280">
      <w:pPr>
        <w:pStyle w:val="ListParagraph"/>
      </w:pPr>
      <w:r w:rsidRPr="00457280">
        <w:t>History of intolerance or adverse event</w:t>
      </w:r>
    </w:p>
    <w:p w14:paraId="10DA4309" w14:textId="1DBDC1F2" w:rsidR="00FF66BF" w:rsidRPr="008D1B34" w:rsidRDefault="00FF66BF" w:rsidP="00F4135B">
      <w:pPr>
        <w:pStyle w:val="Heading2"/>
      </w:pPr>
      <w:r w:rsidRPr="008D1B34">
        <w:t>References</w:t>
      </w:r>
    </w:p>
    <w:p w14:paraId="6D56CC82" w14:textId="77777777" w:rsidR="00457280" w:rsidRDefault="00457280" w:rsidP="00457280">
      <w:pPr>
        <w:pStyle w:val="ReferenceOrdered"/>
      </w:pPr>
      <w:r>
        <w:t xml:space="preserve">Rituxan [package insert]. South San Francisco, CA: Genentech, Inc.; December 2021. </w:t>
      </w:r>
    </w:p>
    <w:p w14:paraId="35F07B55" w14:textId="3A1767FB" w:rsidR="00457280" w:rsidRDefault="00457280" w:rsidP="00457280">
      <w:pPr>
        <w:pStyle w:val="ReferenceOrdered"/>
      </w:pPr>
      <w:proofErr w:type="spellStart"/>
      <w:r>
        <w:t>Truxima</w:t>
      </w:r>
      <w:proofErr w:type="spellEnd"/>
      <w:r>
        <w:t xml:space="preserve"> [package insert]. North Wales, PA: Teva Pharmaceuticals USA, Inc.; </w:t>
      </w:r>
      <w:r w:rsidR="00F278CB">
        <w:t>July</w:t>
      </w:r>
      <w:r>
        <w:t xml:space="preserve"> 202</w:t>
      </w:r>
      <w:r w:rsidR="00F278CB">
        <w:t>4</w:t>
      </w:r>
      <w:r>
        <w:t>.</w:t>
      </w:r>
    </w:p>
    <w:p w14:paraId="65B83921" w14:textId="77777777" w:rsidR="00457280" w:rsidRDefault="00457280" w:rsidP="00457280">
      <w:pPr>
        <w:pStyle w:val="ReferenceOrdered"/>
      </w:pPr>
      <w:r>
        <w:t xml:space="preserve">Methotrexate [package insert]. Cranbury, NJ: Sun Pharmaceutical Industries, Inc.; August 2021.  </w:t>
      </w:r>
    </w:p>
    <w:p w14:paraId="67748B3E" w14:textId="77777777" w:rsidR="00457280" w:rsidRDefault="00457280" w:rsidP="00457280">
      <w:pPr>
        <w:pStyle w:val="ReferenceOrdered"/>
      </w:pPr>
      <w:r>
        <w:t>IBM Micromedex [Internet database]. Ann Arbor, MI: Truven Health Analytics. Updated periodically. Accessed April 8, 2024.</w:t>
      </w:r>
    </w:p>
    <w:p w14:paraId="7D0EA4B5" w14:textId="77777777" w:rsidR="00457280" w:rsidRDefault="00457280" w:rsidP="00457280">
      <w:pPr>
        <w:pStyle w:val="ReferenceOrdered"/>
      </w:pPr>
      <w:r>
        <w:t xml:space="preserve">Dass S, Bowman SJ, Vital EM, et al. Reduction of fatigue in </w:t>
      </w:r>
      <w:proofErr w:type="spellStart"/>
      <w:r>
        <w:t>Sjögren</w:t>
      </w:r>
      <w:proofErr w:type="spellEnd"/>
      <w:r>
        <w:t xml:space="preserve"> syndrome with rituximab: results of a double blind, placebo-controlled study. Ann Rheum Dis. 2008;67:1541-1544.</w:t>
      </w:r>
    </w:p>
    <w:p w14:paraId="35D1B621" w14:textId="77777777" w:rsidR="00457280" w:rsidRDefault="00457280" w:rsidP="00457280">
      <w:pPr>
        <w:pStyle w:val="ReferenceOrdered"/>
      </w:pPr>
      <w:r>
        <w:t xml:space="preserve">Meijer JM, Meiners PM, </w:t>
      </w:r>
      <w:proofErr w:type="spellStart"/>
      <w:r>
        <w:t>Vissink</w:t>
      </w:r>
      <w:proofErr w:type="spellEnd"/>
      <w:r>
        <w:t xml:space="preserve"> A, et al. Effectiveness of rituximab treatment in primary </w:t>
      </w:r>
      <w:proofErr w:type="spellStart"/>
      <w:r>
        <w:t>Sjögren's</w:t>
      </w:r>
      <w:proofErr w:type="spellEnd"/>
      <w:r>
        <w:t xml:space="preserve"> syndrome: a randomized, double-blind, placebo-controlled trial. Arthritis Rheum. 2010;62(4):960-8.  </w:t>
      </w:r>
    </w:p>
    <w:p w14:paraId="741BB810" w14:textId="77777777" w:rsidR="00457280" w:rsidRDefault="00457280" w:rsidP="00457280">
      <w:pPr>
        <w:pStyle w:val="ReferenceOrdered"/>
      </w:pPr>
      <w:r>
        <w:t xml:space="preserve">Smolen JS, </w:t>
      </w:r>
      <w:proofErr w:type="spellStart"/>
      <w:r>
        <w:t>Landewé</w:t>
      </w:r>
      <w:proofErr w:type="spellEnd"/>
      <w:r>
        <w:t xml:space="preserve"> R, </w:t>
      </w:r>
      <w:proofErr w:type="spellStart"/>
      <w:r>
        <w:t>Billsma</w:t>
      </w:r>
      <w:proofErr w:type="spellEnd"/>
      <w:r>
        <w:t xml:space="preserve"> J, et al. EULAR recommendations for the management of rheumatoid arthritis with synthetic and biological disease-modifying antirheumatic drugs: 2019 update. Ann Rheum Dis. 2020;79:685-699.</w:t>
      </w:r>
    </w:p>
    <w:p w14:paraId="66713D43" w14:textId="77777777" w:rsidR="00457280" w:rsidRDefault="00457280" w:rsidP="00457280">
      <w:pPr>
        <w:pStyle w:val="ReferenceOrdered"/>
      </w:pPr>
      <w:r>
        <w:t xml:space="preserve">Singh JA, Saag KG, Bridges SL Jr, et al. 2015 American College of Rheumatology Guideline for the Treatment of Rheumatoid Arthritis. Arthritis </w:t>
      </w:r>
      <w:proofErr w:type="spellStart"/>
      <w:r>
        <w:t>Rheumatol</w:t>
      </w:r>
      <w:proofErr w:type="spellEnd"/>
      <w:r>
        <w:t>. 2016;68(1)1-26.</w:t>
      </w:r>
    </w:p>
    <w:p w14:paraId="2148327F" w14:textId="77777777" w:rsidR="00457280" w:rsidRDefault="00457280" w:rsidP="00457280">
      <w:pPr>
        <w:pStyle w:val="ReferenceOrdered"/>
      </w:pPr>
      <w:r>
        <w:t xml:space="preserve">Saag KG, Teng GG, Patkar NM, et al. American College of Rheumatology 2008 recommendations for the use of nonbiologic and biologic disease-modifying antirheumatic drugs in rheumatoid arthritis. Arthritis Rheum. 2008;59(6):762-784. </w:t>
      </w:r>
    </w:p>
    <w:p w14:paraId="69C5EEFA" w14:textId="77777777" w:rsidR="00457280" w:rsidRDefault="00457280" w:rsidP="00457280">
      <w:pPr>
        <w:pStyle w:val="ReferenceOrdered"/>
      </w:pPr>
      <w:r>
        <w:t xml:space="preserve">Hauser SL, </w:t>
      </w:r>
      <w:proofErr w:type="spellStart"/>
      <w:r>
        <w:t>Waubant</w:t>
      </w:r>
      <w:proofErr w:type="spellEnd"/>
      <w:r>
        <w:t xml:space="preserve"> E, Arnold DL, et al. B-cell depletion with rituximab in relapsing-remitting multiple sclerosis. N Engl J Med. 2008;358:676-688.</w:t>
      </w:r>
    </w:p>
    <w:p w14:paraId="696DD98A" w14:textId="77777777" w:rsidR="00457280" w:rsidRDefault="00457280" w:rsidP="00457280">
      <w:pPr>
        <w:pStyle w:val="ReferenceOrdered"/>
      </w:pPr>
      <w:r>
        <w:t xml:space="preserve">Scott, T.F., Frohman, E.M., </w:t>
      </w:r>
      <w:proofErr w:type="spellStart"/>
      <w:r>
        <w:t>DeSeze</w:t>
      </w:r>
      <w:proofErr w:type="spellEnd"/>
      <w:r>
        <w:t>, J., (2011). Evidence-based guideline: Clinical evaluation and treatment of transverse myelitis: Report of the Therapeutics and Technology Assessment Subcommittee of the American Academy of Neurology. American Academy of Neurology. 77: 2128-2134.</w:t>
      </w:r>
    </w:p>
    <w:p w14:paraId="363F727A" w14:textId="77777777" w:rsidR="00457280" w:rsidRDefault="00457280" w:rsidP="00457280">
      <w:pPr>
        <w:pStyle w:val="ReferenceOrdered"/>
      </w:pPr>
      <w:proofErr w:type="spellStart"/>
      <w:r>
        <w:t>Kumpfel</w:t>
      </w:r>
      <w:proofErr w:type="spellEnd"/>
      <w:r>
        <w:t xml:space="preserve">, T., </w:t>
      </w:r>
      <w:proofErr w:type="spellStart"/>
      <w:r>
        <w:t>Giglhuber</w:t>
      </w:r>
      <w:proofErr w:type="spellEnd"/>
      <w:r>
        <w:t xml:space="preserve">, K., et al. (2023). Update on the diagnosis and treatment of neuromyelitis </w:t>
      </w:r>
      <w:proofErr w:type="spellStart"/>
      <w:r>
        <w:t>optica</w:t>
      </w:r>
      <w:proofErr w:type="spellEnd"/>
      <w:r>
        <w:t xml:space="preserve"> spectrum disorders (NMOSD)- revised recommendations of the Neuromyelitis Optica Study Group (NEMOS). Part II: Attack therapy and long-term management. J Neurol 271: 141-176.</w:t>
      </w:r>
    </w:p>
    <w:p w14:paraId="3B178903" w14:textId="77777777" w:rsidR="00457280" w:rsidRDefault="00457280" w:rsidP="00457280">
      <w:pPr>
        <w:pStyle w:val="ReferenceOrdered"/>
      </w:pPr>
      <w:r w:rsidRPr="00183CFF">
        <w:rPr>
          <w:lang w:val="it-IT"/>
        </w:rPr>
        <w:t xml:space="preserve">De Vita S, Quartuccio L, Isola M, et al. </w:t>
      </w:r>
      <w:r>
        <w:t xml:space="preserve">A randomized controlled trial of rituximab for the treatment of severe cryoglobulinemic vasculitis. Arthritis Rheum. 2012;64(3):843-53. </w:t>
      </w:r>
    </w:p>
    <w:p w14:paraId="10F01800" w14:textId="77777777" w:rsidR="00457280" w:rsidRDefault="00457280" w:rsidP="00457280">
      <w:pPr>
        <w:pStyle w:val="ReferenceOrdered"/>
      </w:pPr>
      <w:proofErr w:type="spellStart"/>
      <w:r>
        <w:t>Sneller</w:t>
      </w:r>
      <w:proofErr w:type="spellEnd"/>
      <w:r>
        <w:t xml:space="preserve"> MC, Hu Z, Langford CA. A randomized controlled trial of rituximab following failure of antiviral therapy for hepatitis C virus-associated cryoglobulinemic vasculitis. Arthritis Rheum. 2012 Mar; 64(3):835-42.</w:t>
      </w:r>
    </w:p>
    <w:p w14:paraId="65D57EA8" w14:textId="77777777" w:rsidR="00457280" w:rsidRDefault="00457280" w:rsidP="00457280">
      <w:pPr>
        <w:pStyle w:val="ReferenceOrdered"/>
      </w:pPr>
      <w:r w:rsidRPr="00183CFF">
        <w:rPr>
          <w:lang w:val="it-IT"/>
        </w:rPr>
        <w:t xml:space="preserve">Terrier B, Krastinova E, Marie I, et al. </w:t>
      </w:r>
      <w:r>
        <w:t xml:space="preserve">Management of noninfectious mixed cryoglobulinemia vasculitis: data from 242 cases included in the </w:t>
      </w:r>
      <w:proofErr w:type="spellStart"/>
      <w:r>
        <w:t>CryoVas</w:t>
      </w:r>
      <w:proofErr w:type="spellEnd"/>
      <w:r>
        <w:t xml:space="preserve"> survey. Blood. 2012 Jun 21; 119(25):5996-6004.</w:t>
      </w:r>
    </w:p>
    <w:p w14:paraId="4A68D7E2" w14:textId="77777777" w:rsidR="00457280" w:rsidRDefault="00457280" w:rsidP="00457280">
      <w:pPr>
        <w:pStyle w:val="ReferenceOrdered"/>
      </w:pPr>
      <w:r>
        <w:t xml:space="preserve">Trappe R, </w:t>
      </w:r>
      <w:proofErr w:type="spellStart"/>
      <w:r>
        <w:t>Oertel</w:t>
      </w:r>
      <w:proofErr w:type="spellEnd"/>
      <w:r>
        <w:t xml:space="preserve"> S, </w:t>
      </w:r>
      <w:proofErr w:type="spellStart"/>
      <w:r>
        <w:t>Leblond</w:t>
      </w:r>
      <w:proofErr w:type="spellEnd"/>
      <w:r>
        <w:t xml:space="preserve"> V, et al. Sequential treatment with rituximab followed by CHOP chemotherapy in adult B-cell post-transplant lymphoproliferative disorder (PTLD): the prospective international </w:t>
      </w:r>
      <w:proofErr w:type="spellStart"/>
      <w:r>
        <w:t>multicentre</w:t>
      </w:r>
      <w:proofErr w:type="spellEnd"/>
      <w:r>
        <w:t xml:space="preserve"> phase 2 PTLD-1 trial. Lancet Oncol 2012 Feb; 13 (2):196-206.</w:t>
      </w:r>
    </w:p>
    <w:p w14:paraId="332EE5AC" w14:textId="77777777" w:rsidR="00457280" w:rsidRDefault="00457280" w:rsidP="00457280">
      <w:pPr>
        <w:pStyle w:val="ReferenceOrdered"/>
      </w:pPr>
      <w:r>
        <w:t xml:space="preserve">The American Society of Transplantation Infectious Diseases Guidelines. Am J Transplant 2009; 9 (Suppl 4):S92. </w:t>
      </w:r>
    </w:p>
    <w:p w14:paraId="292DD8E5" w14:textId="77777777" w:rsidR="00457280" w:rsidRDefault="00457280" w:rsidP="00457280">
      <w:pPr>
        <w:pStyle w:val="ReferenceOrdered"/>
      </w:pPr>
      <w:r>
        <w:t xml:space="preserve">Bell J, Moran C, Blatt J. Response to rituximab in a child with neuroblastoma and opsoclonus-myoclonus. </w:t>
      </w:r>
      <w:proofErr w:type="spellStart"/>
      <w:r>
        <w:t>Pediatr</w:t>
      </w:r>
      <w:proofErr w:type="spellEnd"/>
      <w:r>
        <w:t xml:space="preserve"> Blood Cancer 2008; 50:370.</w:t>
      </w:r>
    </w:p>
    <w:p w14:paraId="5EE681C3" w14:textId="77777777" w:rsidR="00457280" w:rsidRDefault="00457280" w:rsidP="00457280">
      <w:pPr>
        <w:pStyle w:val="ReferenceOrdered"/>
      </w:pPr>
      <w:proofErr w:type="spellStart"/>
      <w:r>
        <w:t>Hertl</w:t>
      </w:r>
      <w:proofErr w:type="spellEnd"/>
      <w:r>
        <w:t xml:space="preserve"> M, Geller S. Initial management of pemphigus vulgaris and pemphigus foliaceus. UpToDate [online serial]. Waltham, MA: UpToDate; reviewed August 2021.</w:t>
      </w:r>
    </w:p>
    <w:p w14:paraId="4C0CF500" w14:textId="77777777" w:rsidR="00457280" w:rsidRDefault="00457280" w:rsidP="00457280">
      <w:pPr>
        <w:pStyle w:val="ReferenceOrdered"/>
      </w:pPr>
      <w:r>
        <w:t>American Society of Health System Pharmacists. AHFS DI. Bethesda, MD. Electronic version, 2019. Available with subscription. URL: http://online.lexi.com/lco/action/home. Accessed April 8, 2024.</w:t>
      </w:r>
    </w:p>
    <w:p w14:paraId="281FCEB4" w14:textId="77777777" w:rsidR="00457280" w:rsidRDefault="00457280" w:rsidP="00457280">
      <w:pPr>
        <w:pStyle w:val="ReferenceOrdered"/>
      </w:pPr>
      <w:r>
        <w:t>DRUGDEX System (electronic version). Micromedex Truven Health Analytics. Available with subscription. URL: www.micromedexsolutions.com. Accessed April 8, 2024.</w:t>
      </w:r>
    </w:p>
    <w:p w14:paraId="0C421866" w14:textId="77777777" w:rsidR="00457280" w:rsidRDefault="00457280" w:rsidP="00457280">
      <w:pPr>
        <w:pStyle w:val="ReferenceOrdered"/>
      </w:pPr>
      <w:proofErr w:type="spellStart"/>
      <w:r>
        <w:t>Ruxience</w:t>
      </w:r>
      <w:proofErr w:type="spellEnd"/>
      <w:r>
        <w:t xml:space="preserve"> [package insert]. NY, NY: Pfizer Biosimilars; October 2023.</w:t>
      </w:r>
    </w:p>
    <w:p w14:paraId="5EAEB8F3" w14:textId="77777777" w:rsidR="00457280" w:rsidRDefault="00457280" w:rsidP="00457280">
      <w:pPr>
        <w:pStyle w:val="ReferenceOrdered"/>
      </w:pPr>
      <w:proofErr w:type="spellStart"/>
      <w:r>
        <w:t>Riabni</w:t>
      </w:r>
      <w:proofErr w:type="spellEnd"/>
      <w:r>
        <w:t xml:space="preserve"> [package insert]. Thousand Oaks, CA: Amgen Inc.; February 2023.</w:t>
      </w:r>
    </w:p>
    <w:p w14:paraId="6FFA2F72" w14:textId="77777777" w:rsidR="00457280" w:rsidRDefault="00457280" w:rsidP="00457280">
      <w:pPr>
        <w:pStyle w:val="ReferenceOrdered"/>
      </w:pPr>
      <w:proofErr w:type="spellStart"/>
      <w:r>
        <w:t>Aletaha</w:t>
      </w:r>
      <w:proofErr w:type="spellEnd"/>
      <w:r>
        <w:t xml:space="preserve"> D, </w:t>
      </w:r>
      <w:proofErr w:type="spellStart"/>
      <w:r>
        <w:t>Neogi</w:t>
      </w:r>
      <w:proofErr w:type="spellEnd"/>
      <w:r>
        <w:t xml:space="preserve"> T, </w:t>
      </w:r>
      <w:proofErr w:type="spellStart"/>
      <w:r>
        <w:t>Silman</w:t>
      </w:r>
      <w:proofErr w:type="spellEnd"/>
      <w:r>
        <w:t>, et al. 2010 Rheumatoid arthritis classification criteria: an American College of Rheumatology/European League Against Rheumatism collaborative initiative. Arthritis Rheum. 2010;62(9):2569-81.</w:t>
      </w:r>
    </w:p>
    <w:p w14:paraId="1B4F7E39" w14:textId="77777777" w:rsidR="00457280" w:rsidRDefault="00457280" w:rsidP="00457280">
      <w:pPr>
        <w:pStyle w:val="ReferenceOrdered"/>
      </w:pPr>
      <w:r>
        <w:t xml:space="preserve">Smolen JS, </w:t>
      </w:r>
      <w:proofErr w:type="spellStart"/>
      <w:r>
        <w:t>Aletaha</w:t>
      </w:r>
      <w:proofErr w:type="spellEnd"/>
      <w:r>
        <w:t xml:space="preserve"> D. Assessment of rheumatoid arthritis activity in clinical trials and clinical practice. In: UpToDate, Post TW (Ed), UpToDate, Waltham, MA. Available with subscription. URL: www.uptodate.com. Accessed November 7, 2022.</w:t>
      </w:r>
    </w:p>
    <w:p w14:paraId="53AA0C93" w14:textId="77777777" w:rsidR="00457280" w:rsidRDefault="00457280" w:rsidP="00457280">
      <w:pPr>
        <w:pStyle w:val="ReferenceOrdered"/>
      </w:pPr>
      <w:r>
        <w:t xml:space="preserve">Murrell DF, Peña S, Joly P, et al. Diagnosis and management of pemphigus: Recommendations of an international panel of experts. J Am </w:t>
      </w:r>
      <w:proofErr w:type="spellStart"/>
      <w:r>
        <w:t>Acad</w:t>
      </w:r>
      <w:proofErr w:type="spellEnd"/>
      <w:r>
        <w:t xml:space="preserve"> Dermatol. 2020;82(3):575-585.e1.</w:t>
      </w:r>
    </w:p>
    <w:p w14:paraId="3DB14243" w14:textId="77777777" w:rsidR="00457280" w:rsidRDefault="00457280" w:rsidP="00457280">
      <w:pPr>
        <w:pStyle w:val="ReferenceOrdered"/>
      </w:pPr>
      <w:r>
        <w:t xml:space="preserve">Joly P, Horvath B, </w:t>
      </w:r>
      <w:proofErr w:type="spellStart"/>
      <w:r>
        <w:t>Patsatsi</w:t>
      </w:r>
      <w:proofErr w:type="spellEnd"/>
      <w:r>
        <w:t xml:space="preserve"> </w:t>
      </w:r>
      <w:r>
        <w:rPr>
          <w:rFonts w:ascii="Calibri" w:hAnsi="Calibri" w:cs="Calibri"/>
        </w:rPr>
        <w:t>Α</w:t>
      </w:r>
      <w:r>
        <w:t xml:space="preserve">, et al. Updated S2K guidelines on the management of pemphigus vulgaris and foliaceus initiated by the </w:t>
      </w:r>
      <w:proofErr w:type="spellStart"/>
      <w:r>
        <w:t>european</w:t>
      </w:r>
      <w:proofErr w:type="spellEnd"/>
      <w:r>
        <w:t xml:space="preserve"> academy of dermatology and venereology (EADV). J </w:t>
      </w:r>
      <w:proofErr w:type="spellStart"/>
      <w:r>
        <w:t>Eur</w:t>
      </w:r>
      <w:proofErr w:type="spellEnd"/>
      <w:r>
        <w:t xml:space="preserve"> </w:t>
      </w:r>
      <w:proofErr w:type="spellStart"/>
      <w:r>
        <w:t>Acad</w:t>
      </w:r>
      <w:proofErr w:type="spellEnd"/>
      <w:r>
        <w:t xml:space="preserve"> Dermatol </w:t>
      </w:r>
      <w:proofErr w:type="spellStart"/>
      <w:r>
        <w:t>Venereol</w:t>
      </w:r>
      <w:proofErr w:type="spellEnd"/>
      <w:r>
        <w:t>. 2020;34(9):1900-1913.</w:t>
      </w:r>
    </w:p>
    <w:p w14:paraId="5447DC88" w14:textId="77777777" w:rsidR="00457280" w:rsidRDefault="00457280" w:rsidP="00457280">
      <w:pPr>
        <w:pStyle w:val="ReferenceOrdered"/>
      </w:pPr>
      <w:r>
        <w:t xml:space="preserve">Micromedex Solutions [database online]. Truven Health Analytics, Greenwood Village, Colorado, USA.  Available at: http://www.micromedexsolutions.com/.  Accessed March 27, 2024.  </w:t>
      </w:r>
    </w:p>
    <w:p w14:paraId="63E41F3A" w14:textId="77777777" w:rsidR="00457280" w:rsidRDefault="00457280" w:rsidP="00457280">
      <w:pPr>
        <w:pStyle w:val="ReferenceOrdered"/>
      </w:pPr>
      <w:r>
        <w:t xml:space="preserve">Fraenkel L, </w:t>
      </w:r>
      <w:proofErr w:type="spellStart"/>
      <w:r>
        <w:t>Bathon</w:t>
      </w:r>
      <w:proofErr w:type="spellEnd"/>
      <w:r>
        <w:t xml:space="preserve"> JM, England BR, et al. 2021 American College of Rheumatology guideline for the treatment of rheumatoid arthritis. </w:t>
      </w:r>
      <w:proofErr w:type="spellStart"/>
      <w:r>
        <w:t>Arthrit</w:t>
      </w:r>
      <w:proofErr w:type="spellEnd"/>
      <w:r>
        <w:t xml:space="preserve"> Care Res. 2021;0:1-16.</w:t>
      </w:r>
    </w:p>
    <w:p w14:paraId="418EDB66" w14:textId="77777777" w:rsidR="00457280" w:rsidRDefault="00457280" w:rsidP="00457280">
      <w:pPr>
        <w:pStyle w:val="ReferenceOrdered"/>
      </w:pPr>
      <w:r w:rsidRPr="00183CFF">
        <w:rPr>
          <w:lang w:val="it-IT"/>
        </w:rPr>
        <w:t xml:space="preserve">Menditto VG, Rossetti G, Olivari D, et al. </w:t>
      </w:r>
      <w:r>
        <w:t>Rituximab for eosinophilic granulomatosis with polyangiitis: a systematic review of observational studies. Rheumatology (Oxford). 2021;60(4):1640-1650.</w:t>
      </w:r>
    </w:p>
    <w:p w14:paraId="20839E0A" w14:textId="77777777" w:rsidR="00457280" w:rsidRDefault="00457280" w:rsidP="00457280">
      <w:pPr>
        <w:pStyle w:val="ReferenceOrdered"/>
      </w:pPr>
      <w:r>
        <w:t xml:space="preserve">Chung SA, Langford CA, </w:t>
      </w:r>
      <w:proofErr w:type="spellStart"/>
      <w:r>
        <w:t>Maz</w:t>
      </w:r>
      <w:proofErr w:type="spellEnd"/>
      <w:r>
        <w:t xml:space="preserve"> M, et al. 2021 American College of Rheumatology/Vasculitis Foundation Guideline for the Management of Antineutrophil Cytoplasmic Antibody-Associated Vasculitis. Arthritis </w:t>
      </w:r>
      <w:proofErr w:type="spellStart"/>
      <w:r>
        <w:t>Rheumatol</w:t>
      </w:r>
      <w:proofErr w:type="spellEnd"/>
      <w:r>
        <w:t>. 2021;73(8):1366-1383.</w:t>
      </w:r>
    </w:p>
    <w:p w14:paraId="7452B222" w14:textId="77777777" w:rsidR="00457280" w:rsidRDefault="00457280" w:rsidP="00457280">
      <w:pPr>
        <w:pStyle w:val="ReferenceOrdered"/>
      </w:pPr>
      <w:r>
        <w:t xml:space="preserve">Poupart J, </w:t>
      </w:r>
      <w:proofErr w:type="spellStart"/>
      <w:r>
        <w:t>Giovannelli</w:t>
      </w:r>
      <w:proofErr w:type="spellEnd"/>
      <w:r>
        <w:t xml:space="preserve"> J, Deschamps R, </w:t>
      </w:r>
      <w:proofErr w:type="spellStart"/>
      <w:r>
        <w:t>Audoin</w:t>
      </w:r>
      <w:proofErr w:type="spellEnd"/>
      <w:r>
        <w:t xml:space="preserve"> B, </w:t>
      </w:r>
      <w:proofErr w:type="spellStart"/>
      <w:r>
        <w:t>Ciron</w:t>
      </w:r>
      <w:proofErr w:type="spellEnd"/>
      <w:r>
        <w:t xml:space="preserve"> J, </w:t>
      </w:r>
      <w:proofErr w:type="spellStart"/>
      <w:r>
        <w:t>Maillart</w:t>
      </w:r>
      <w:proofErr w:type="spellEnd"/>
      <w:r>
        <w:t xml:space="preserve"> E, </w:t>
      </w:r>
      <w:proofErr w:type="spellStart"/>
      <w:r>
        <w:t>Papeix</w:t>
      </w:r>
      <w:proofErr w:type="spellEnd"/>
      <w:r>
        <w:t xml:space="preserve"> C, </w:t>
      </w:r>
      <w:proofErr w:type="spellStart"/>
      <w:r>
        <w:t>Collongues</w:t>
      </w:r>
      <w:proofErr w:type="spellEnd"/>
      <w:r>
        <w:t xml:space="preserve"> N, Bourre B, Cohen M, </w:t>
      </w:r>
      <w:proofErr w:type="spellStart"/>
      <w:r>
        <w:t>Wiertlewski</w:t>
      </w:r>
      <w:proofErr w:type="spellEnd"/>
      <w:r>
        <w:t xml:space="preserve"> S, </w:t>
      </w:r>
      <w:proofErr w:type="spellStart"/>
      <w:r>
        <w:t>Outteryck</w:t>
      </w:r>
      <w:proofErr w:type="spellEnd"/>
      <w:r>
        <w:t xml:space="preserve"> O, </w:t>
      </w:r>
      <w:proofErr w:type="spellStart"/>
      <w:r>
        <w:t>Laplaud</w:t>
      </w:r>
      <w:proofErr w:type="spellEnd"/>
      <w:r>
        <w:t xml:space="preserve"> D, </w:t>
      </w:r>
      <w:proofErr w:type="spellStart"/>
      <w:r>
        <w:t>Vukusic</w:t>
      </w:r>
      <w:proofErr w:type="spellEnd"/>
      <w:r>
        <w:t xml:space="preserve"> S, </w:t>
      </w:r>
      <w:proofErr w:type="spellStart"/>
      <w:r>
        <w:t>Marignier</w:t>
      </w:r>
      <w:proofErr w:type="spellEnd"/>
      <w:r>
        <w:t xml:space="preserve"> R, </w:t>
      </w:r>
      <w:proofErr w:type="spellStart"/>
      <w:r>
        <w:t>Zephir</w:t>
      </w:r>
      <w:proofErr w:type="spellEnd"/>
      <w:r>
        <w:t xml:space="preserve"> H; NOMADMUS study group. Evaluation of efficacy and tolerability of first-line therapies in NMOSD. Neurology. 2020 Apr 14;94(15):e1645-e1656.</w:t>
      </w:r>
    </w:p>
    <w:p w14:paraId="101A2F92" w14:textId="12523340" w:rsidR="009F5CAD" w:rsidRDefault="00457280" w:rsidP="005E1EE9">
      <w:pPr>
        <w:pStyle w:val="ReferenceOrdered"/>
      </w:pPr>
      <w:r>
        <w:t>Kidney Disease: Improving Global Outcomes (KDIGO) Glomerular Diseases Work Group. KDIGO 2021 Clinical Practice Guideline for the Management of Glomerular Diseases. Kidney Int. 2021 Oct;100(4S):S1-S276.</w:t>
      </w:r>
      <w:r w:rsidR="00A46479">
        <w:br w:type="page"/>
      </w:r>
    </w:p>
    <w:p w14:paraId="267E1909" w14:textId="77777777" w:rsidR="009F5CAD" w:rsidRPr="008F7216" w:rsidRDefault="009F5CAD" w:rsidP="009F5CAD">
      <w:pPr>
        <w:pStyle w:val="Heading1"/>
      </w:pPr>
      <w:r w:rsidRPr="00264F27">
        <w:t>Specialty Guideline Management</w:t>
      </w:r>
      <w:r w:rsidRPr="00264F27">
        <w:br/>
      </w:r>
      <w:r>
        <w:t>R</w:t>
      </w:r>
      <w:r w:rsidRPr="00264F27">
        <w:t>ituximab</w:t>
      </w:r>
      <w:r>
        <w:t xml:space="preserve"> Products</w:t>
      </w:r>
      <w:r>
        <w:br/>
      </w:r>
      <w:r w:rsidRPr="00052543">
        <w:t>Treatment of Hematologic and Oncologic Conditions</w:t>
      </w:r>
    </w:p>
    <w:p w14:paraId="4E932C89" w14:textId="77777777" w:rsidR="009F5CAD" w:rsidRPr="00264F27" w:rsidRDefault="009F5CAD" w:rsidP="009F5CAD">
      <w:pPr>
        <w:pStyle w:val="Heading2"/>
      </w:pPr>
      <w:r w:rsidRPr="00264F27">
        <w:t>Products Referenced by this Document</w:t>
      </w:r>
    </w:p>
    <w:p w14:paraId="7F205B6F" w14:textId="77777777" w:rsidR="009F5CAD" w:rsidRDefault="009F5CAD" w:rsidP="009F5CAD">
      <w:pPr>
        <w:pStyle w:val="BodyText"/>
      </w:pPr>
      <w:r w:rsidRPr="00264F27">
        <w:t xml:space="preserve">Drugs that are listed in the following table include both brand and generic and all dosage forms and strengths unless otherwise stated. </w:t>
      </w:r>
      <w:r>
        <w:t>Over-the-counter (</w:t>
      </w:r>
      <w:r w:rsidRPr="00264F27">
        <w:t>OTC</w:t>
      </w:r>
      <w:r>
        <w:t>)</w:t>
      </w:r>
      <w:r w:rsidRPr="00264F2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9F5CAD" w:rsidRPr="00264F27" w14:paraId="32E2B9A3" w14:textId="77777777" w:rsidTr="00316A46">
        <w:trPr>
          <w:cantSplit/>
          <w:trHeight w:val="288"/>
          <w:tblHeader/>
        </w:trPr>
        <w:tc>
          <w:tcPr>
            <w:tcW w:w="5265" w:type="dxa"/>
            <w:vAlign w:val="center"/>
          </w:tcPr>
          <w:p w14:paraId="17609F19" w14:textId="77777777" w:rsidR="009F5CAD" w:rsidRPr="00264F27" w:rsidRDefault="009F5CAD" w:rsidP="00316A46">
            <w:pPr>
              <w:pStyle w:val="TableHeader"/>
            </w:pPr>
            <w:r w:rsidRPr="00264F27">
              <w:t>Brand Name</w:t>
            </w:r>
          </w:p>
        </w:tc>
        <w:tc>
          <w:tcPr>
            <w:tcW w:w="5595" w:type="dxa"/>
            <w:vAlign w:val="center"/>
          </w:tcPr>
          <w:p w14:paraId="70C4399A" w14:textId="77777777" w:rsidR="009F5CAD" w:rsidRPr="00264F27" w:rsidRDefault="009F5CAD" w:rsidP="00316A46">
            <w:pPr>
              <w:pStyle w:val="TableHeader"/>
            </w:pPr>
            <w:r w:rsidRPr="00264F27">
              <w:t>Generic Name</w:t>
            </w:r>
          </w:p>
        </w:tc>
      </w:tr>
      <w:tr w:rsidR="009F5CAD" w:rsidRPr="00264F27" w14:paraId="695DFF5E" w14:textId="77777777" w:rsidTr="00316A46">
        <w:trPr>
          <w:cantSplit/>
        </w:trPr>
        <w:tc>
          <w:tcPr>
            <w:tcW w:w="5265" w:type="dxa"/>
          </w:tcPr>
          <w:p w14:paraId="3EF8833F" w14:textId="77777777" w:rsidR="009F5CAD" w:rsidRPr="00264F27" w:rsidRDefault="009F5CAD" w:rsidP="00316A46">
            <w:pPr>
              <w:pStyle w:val="TableDataUnpadded"/>
            </w:pPr>
            <w:r w:rsidRPr="00264F27">
              <w:t>Rituxan</w:t>
            </w:r>
          </w:p>
        </w:tc>
        <w:tc>
          <w:tcPr>
            <w:tcW w:w="5595" w:type="dxa"/>
          </w:tcPr>
          <w:p w14:paraId="5ECFEA57" w14:textId="77777777" w:rsidR="009F5CAD" w:rsidRPr="00264F27" w:rsidRDefault="009F5CAD" w:rsidP="00316A46">
            <w:pPr>
              <w:pStyle w:val="TableDataUnpadded"/>
            </w:pPr>
            <w:r w:rsidRPr="00264F27">
              <w:t>rituximab</w:t>
            </w:r>
          </w:p>
        </w:tc>
      </w:tr>
      <w:tr w:rsidR="009F5CAD" w:rsidRPr="00264F27" w14:paraId="2A5E2CFC" w14:textId="77777777" w:rsidTr="00316A46">
        <w:trPr>
          <w:cantSplit/>
        </w:trPr>
        <w:tc>
          <w:tcPr>
            <w:tcW w:w="5265" w:type="dxa"/>
          </w:tcPr>
          <w:p w14:paraId="561AAB57" w14:textId="77777777" w:rsidR="009F5CAD" w:rsidRPr="00264F27" w:rsidRDefault="009F5CAD" w:rsidP="00316A46">
            <w:pPr>
              <w:pStyle w:val="TableDataUnpadded"/>
            </w:pPr>
            <w:proofErr w:type="spellStart"/>
            <w:r w:rsidRPr="00264F27">
              <w:t>Ruxience</w:t>
            </w:r>
            <w:proofErr w:type="spellEnd"/>
          </w:p>
        </w:tc>
        <w:tc>
          <w:tcPr>
            <w:tcW w:w="5595" w:type="dxa"/>
          </w:tcPr>
          <w:p w14:paraId="582BFB8D" w14:textId="77777777" w:rsidR="009F5CAD" w:rsidRPr="00264F27" w:rsidRDefault="009F5CAD" w:rsidP="00316A46">
            <w:pPr>
              <w:pStyle w:val="TableDataUnpadded"/>
            </w:pPr>
            <w:r w:rsidRPr="00264F27">
              <w:t>rituximab-</w:t>
            </w:r>
            <w:proofErr w:type="spellStart"/>
            <w:r w:rsidRPr="00264F27">
              <w:t>pvvr</w:t>
            </w:r>
            <w:proofErr w:type="spellEnd"/>
          </w:p>
        </w:tc>
      </w:tr>
      <w:tr w:rsidR="009F5CAD" w:rsidRPr="00264F27" w14:paraId="26B0C5D3" w14:textId="77777777" w:rsidTr="00316A46">
        <w:trPr>
          <w:cantSplit/>
        </w:trPr>
        <w:tc>
          <w:tcPr>
            <w:tcW w:w="5265" w:type="dxa"/>
          </w:tcPr>
          <w:p w14:paraId="79F09470" w14:textId="77777777" w:rsidR="009F5CAD" w:rsidRPr="00264F27" w:rsidRDefault="009F5CAD" w:rsidP="00316A46">
            <w:pPr>
              <w:pStyle w:val="TableDataUnpadded"/>
            </w:pPr>
            <w:proofErr w:type="spellStart"/>
            <w:r w:rsidRPr="00264F27">
              <w:t>Truxima</w:t>
            </w:r>
            <w:proofErr w:type="spellEnd"/>
          </w:p>
        </w:tc>
        <w:tc>
          <w:tcPr>
            <w:tcW w:w="5595" w:type="dxa"/>
          </w:tcPr>
          <w:p w14:paraId="1D7B852D" w14:textId="77777777" w:rsidR="009F5CAD" w:rsidRPr="00264F27" w:rsidRDefault="009F5CAD" w:rsidP="00316A46">
            <w:pPr>
              <w:pStyle w:val="TableDataUnpadded"/>
            </w:pPr>
            <w:r w:rsidRPr="00264F27">
              <w:t>rituximab-abbs</w:t>
            </w:r>
          </w:p>
        </w:tc>
      </w:tr>
      <w:tr w:rsidR="009F5CAD" w:rsidRPr="00264F27" w14:paraId="2BAB69D5" w14:textId="77777777" w:rsidTr="00316A46">
        <w:trPr>
          <w:cantSplit/>
        </w:trPr>
        <w:tc>
          <w:tcPr>
            <w:tcW w:w="5265" w:type="dxa"/>
          </w:tcPr>
          <w:p w14:paraId="66A1E526" w14:textId="77777777" w:rsidR="009F5CAD" w:rsidRPr="00264F27" w:rsidRDefault="009F5CAD" w:rsidP="00316A46">
            <w:pPr>
              <w:pStyle w:val="TableDataUnpadded"/>
            </w:pPr>
            <w:proofErr w:type="spellStart"/>
            <w:r w:rsidRPr="00264F27">
              <w:t>Riabni</w:t>
            </w:r>
            <w:proofErr w:type="spellEnd"/>
          </w:p>
        </w:tc>
        <w:tc>
          <w:tcPr>
            <w:tcW w:w="5595" w:type="dxa"/>
          </w:tcPr>
          <w:p w14:paraId="6BE0D72A" w14:textId="77777777" w:rsidR="009F5CAD" w:rsidRPr="00264F27" w:rsidRDefault="009F5CAD" w:rsidP="00316A46">
            <w:pPr>
              <w:pStyle w:val="TableDataUnpadded"/>
            </w:pPr>
            <w:r w:rsidRPr="00264F27">
              <w:t>rituximab-</w:t>
            </w:r>
            <w:proofErr w:type="spellStart"/>
            <w:r w:rsidRPr="00264F27">
              <w:t>arrx</w:t>
            </w:r>
            <w:proofErr w:type="spellEnd"/>
          </w:p>
        </w:tc>
      </w:tr>
    </w:tbl>
    <w:p w14:paraId="6A07E8B8" w14:textId="77777777" w:rsidR="009F5CAD" w:rsidRPr="00264F27" w:rsidRDefault="009F5CAD" w:rsidP="009F5CAD">
      <w:pPr>
        <w:pStyle w:val="Heading2"/>
        <w:tabs>
          <w:tab w:val="left" w:pos="9540"/>
        </w:tabs>
      </w:pPr>
      <w:r w:rsidRPr="00264F27">
        <w:t>Indications</w:t>
      </w:r>
    </w:p>
    <w:p w14:paraId="4C77BA9A" w14:textId="77777777" w:rsidR="009F5CAD" w:rsidRPr="00264F27" w:rsidRDefault="009F5CAD" w:rsidP="009F5CAD">
      <w:pPr>
        <w:pStyle w:val="BodyText"/>
      </w:pPr>
      <w:r w:rsidRPr="00264F27">
        <w:t>The indications below including FDA-approved indications and compendial uses are considered a covered benefit provided that all the approval criteria are met and the member has no exclusions to the prescribed therapy.</w:t>
      </w:r>
    </w:p>
    <w:p w14:paraId="283E8508" w14:textId="77777777" w:rsidR="009F5CAD" w:rsidRPr="00264F27" w:rsidRDefault="009F5CAD" w:rsidP="009F5CAD">
      <w:pPr>
        <w:pStyle w:val="Heading3"/>
        <w:keepNext w:val="0"/>
        <w:rPr>
          <w:vertAlign w:val="superscript"/>
        </w:rPr>
      </w:pPr>
      <w:r w:rsidRPr="00264F27">
        <w:t>FDA-</w:t>
      </w:r>
      <w:r>
        <w:t>A</w:t>
      </w:r>
      <w:r w:rsidRPr="00264F27">
        <w:t>pproved Indications</w:t>
      </w:r>
    </w:p>
    <w:p w14:paraId="01824AA5" w14:textId="77777777" w:rsidR="009F5CAD" w:rsidRPr="00264F27" w:rsidRDefault="009F5CAD" w:rsidP="009F5CAD">
      <w:pPr>
        <w:pStyle w:val="BodyText"/>
      </w:pPr>
      <w:r w:rsidRPr="00264F27">
        <w:t>Rituxan is indicated for the treatment of pediatric patients aged 6 months and older with previously untreated, advanced stage, CD20-positive diffuse large B-cell lymphoma (DLBCL), Burkitt lymphoma (BL), Burkitt-like lymphoma (BLL) or mature B-cell acute leukemia (B-AL) in combination with chemotherapy.</w:t>
      </w:r>
    </w:p>
    <w:p w14:paraId="7E763B08" w14:textId="77777777" w:rsidR="009F5CAD" w:rsidRPr="00264F27" w:rsidRDefault="009F5CAD" w:rsidP="009F5CAD">
      <w:pPr>
        <w:pStyle w:val="BodyText"/>
      </w:pPr>
      <w:r w:rsidRPr="00264F27">
        <w:t xml:space="preserve">Rituxan, </w:t>
      </w:r>
      <w:proofErr w:type="spellStart"/>
      <w:r w:rsidRPr="00264F27">
        <w:t>Ruxience</w:t>
      </w:r>
      <w:proofErr w:type="spellEnd"/>
      <w:r w:rsidRPr="00264F27">
        <w:t xml:space="preserve">, </w:t>
      </w:r>
      <w:proofErr w:type="spellStart"/>
      <w:r w:rsidRPr="00264F27">
        <w:t>Truxima</w:t>
      </w:r>
      <w:proofErr w:type="spellEnd"/>
      <w:r w:rsidRPr="00264F27">
        <w:t xml:space="preserve">, and </w:t>
      </w:r>
      <w:proofErr w:type="spellStart"/>
      <w:r w:rsidRPr="00264F27">
        <w:t>Riabni</w:t>
      </w:r>
      <w:proofErr w:type="spellEnd"/>
      <w:r w:rsidRPr="00264F27">
        <w:t xml:space="preserve"> are indicated for:</w:t>
      </w:r>
    </w:p>
    <w:p w14:paraId="18C3B0B9" w14:textId="77777777" w:rsidR="009F5CAD" w:rsidRPr="00264F27" w:rsidRDefault="009F5CAD" w:rsidP="009F5CAD">
      <w:pPr>
        <w:pStyle w:val="ListParagraph"/>
      </w:pPr>
      <w:r w:rsidRPr="00264F27">
        <w:t>Non-Hodgkin’s lymphoma (NHL) in adult patients with:</w:t>
      </w:r>
    </w:p>
    <w:p w14:paraId="265F702B" w14:textId="77777777" w:rsidR="009F5CAD" w:rsidRPr="00264F27" w:rsidRDefault="009F5CAD" w:rsidP="009F5CAD">
      <w:pPr>
        <w:pStyle w:val="ListParagraph"/>
        <w:numPr>
          <w:ilvl w:val="1"/>
          <w:numId w:val="21"/>
        </w:numPr>
      </w:pPr>
      <w:r w:rsidRPr="00264F27">
        <w:t>Relapsed or refractory, low-grade or follicular, CD20-positive, B-cell NHL as a single agent</w:t>
      </w:r>
    </w:p>
    <w:p w14:paraId="365ED59F" w14:textId="77777777" w:rsidR="009F5CAD" w:rsidRPr="00264F27" w:rsidRDefault="009F5CAD" w:rsidP="009F5CAD">
      <w:pPr>
        <w:pStyle w:val="ListParagraph"/>
        <w:numPr>
          <w:ilvl w:val="1"/>
          <w:numId w:val="21"/>
        </w:numPr>
      </w:pPr>
      <w:r w:rsidRPr="00264F27">
        <w:t>Previously untreated follicular, CD20-positive, B-cell NHL in combination with first line chemotherapy and, in patients achieving a complete or partial response to a rituximab product in combination with chemotherapy, as single-agent maintenance therapy</w:t>
      </w:r>
    </w:p>
    <w:p w14:paraId="6F3610D9" w14:textId="77777777" w:rsidR="009F5CAD" w:rsidRPr="00264F27" w:rsidRDefault="009F5CAD" w:rsidP="009F5CAD">
      <w:pPr>
        <w:pStyle w:val="ListParagraph"/>
        <w:numPr>
          <w:ilvl w:val="1"/>
          <w:numId w:val="21"/>
        </w:numPr>
      </w:pPr>
      <w:r w:rsidRPr="00264F27">
        <w:t>Non-progressing (including stable disease), low-grade, CD20-positive, B-cell NHL, as a single agent after first-line CVP (cyclophosphamide, vincristine, and prednisone) chemotherapy</w:t>
      </w:r>
    </w:p>
    <w:p w14:paraId="083137BE" w14:textId="77777777" w:rsidR="009F5CAD" w:rsidRPr="00264F27" w:rsidRDefault="009F5CAD" w:rsidP="009F5CAD">
      <w:pPr>
        <w:pStyle w:val="ListParagraph"/>
        <w:numPr>
          <w:ilvl w:val="1"/>
          <w:numId w:val="21"/>
        </w:numPr>
      </w:pPr>
      <w:r w:rsidRPr="00264F27">
        <w:t>Previously untreated diffuse large B-cell, CD20-positive NHL in combination with cyclophosphamide, doxorubicin, vincristine, and prednisone (CHOP) or other anthracycline-based chemotherapy regimens</w:t>
      </w:r>
      <w:bookmarkStart w:id="1" w:name="OLE_LINK11"/>
    </w:p>
    <w:bookmarkEnd w:id="1"/>
    <w:p w14:paraId="63341E82" w14:textId="77777777" w:rsidR="009F5CAD" w:rsidRPr="00264F27" w:rsidRDefault="009F5CAD" w:rsidP="009F5CAD">
      <w:pPr>
        <w:pStyle w:val="ListParagraph"/>
      </w:pPr>
      <w:r w:rsidRPr="00264F27">
        <w:t>Chronic lymphocytic leukemia (CLL), in combination with fludarabine and cyclophosphamide (FC), for the treatment of adult patients with previously untreated and previously treated CD20-positive CLL.</w:t>
      </w:r>
    </w:p>
    <w:p w14:paraId="61833AB0" w14:textId="77777777" w:rsidR="009F5CAD" w:rsidRPr="00264F27" w:rsidRDefault="009F5CAD" w:rsidP="009F5CAD">
      <w:pPr>
        <w:pStyle w:val="ListParagraph"/>
      </w:pPr>
      <w:r w:rsidRPr="00264F27">
        <w:t xml:space="preserve">Granulomatosis with polyangiitis (Wegener’s Granulomatosis) and microscopic polyangiitis (MPA) </w:t>
      </w:r>
      <w:bookmarkStart w:id="2" w:name="OLE_LINK23"/>
      <w:r w:rsidRPr="00264F27">
        <w:t xml:space="preserve">in combination with glucocorticoids </w:t>
      </w:r>
      <w:bookmarkEnd w:id="2"/>
      <w:r w:rsidRPr="00264F27">
        <w:t xml:space="preserve">(Not addressed in this policy – Refer to </w:t>
      </w:r>
      <w:proofErr w:type="spellStart"/>
      <w:r w:rsidRPr="00264F27">
        <w:t>Rituxan-Ruxience-Truxima-Riabni-RA+Other</w:t>
      </w:r>
      <w:proofErr w:type="spellEnd"/>
      <w:r w:rsidRPr="00264F27">
        <w:t xml:space="preserve"> SGM)</w:t>
      </w:r>
    </w:p>
    <w:p w14:paraId="026F6D80" w14:textId="77777777" w:rsidR="009F5CAD" w:rsidRPr="00264F27" w:rsidRDefault="009F5CAD" w:rsidP="009F5CAD">
      <w:pPr>
        <w:pStyle w:val="ListParagraph"/>
        <w:spacing w:after="120"/>
      </w:pPr>
      <w:r w:rsidRPr="00264F27">
        <w:t xml:space="preserve">Rheumatoid Arthritis (RA) in combination with methotrexate in adult patients with moderately-to severely active RA who have inadequate response to one or more TNF antagonist therapies. (Not addressed in this policy – Refer to </w:t>
      </w:r>
      <w:proofErr w:type="spellStart"/>
      <w:r w:rsidRPr="00264F27">
        <w:t>Rituxan-Ruxience-Truxima-Riabni-RA+Other</w:t>
      </w:r>
      <w:proofErr w:type="spellEnd"/>
      <w:r w:rsidRPr="00264F27">
        <w:t xml:space="preserve"> SGM)</w:t>
      </w:r>
    </w:p>
    <w:p w14:paraId="07C868C6" w14:textId="77777777" w:rsidR="009F5CAD" w:rsidRPr="00264F27" w:rsidRDefault="009F5CAD" w:rsidP="009F5CAD">
      <w:pPr>
        <w:pStyle w:val="BodyText"/>
      </w:pPr>
      <w:r w:rsidRPr="00264F27">
        <w:t>Rituxan is also indicated for:</w:t>
      </w:r>
    </w:p>
    <w:p w14:paraId="2E6819EC" w14:textId="77777777" w:rsidR="009F5CAD" w:rsidRPr="00264F27" w:rsidRDefault="009F5CAD" w:rsidP="009F5CAD">
      <w:pPr>
        <w:pStyle w:val="BodyText"/>
      </w:pPr>
      <w:r w:rsidRPr="00264F27">
        <w:t xml:space="preserve">Rituxan is indicated for moderate to severe pemphigus vulgaris in adult patients </w:t>
      </w:r>
    </w:p>
    <w:p w14:paraId="6AB740B9" w14:textId="77777777" w:rsidR="009F5CAD" w:rsidRPr="00264F27" w:rsidRDefault="009F5CAD" w:rsidP="009F5CAD">
      <w:pPr>
        <w:pStyle w:val="BodyText"/>
      </w:pPr>
      <w:r w:rsidRPr="00264F27">
        <w:t xml:space="preserve">(Not addressed in this policy – Refer to </w:t>
      </w:r>
      <w:proofErr w:type="spellStart"/>
      <w:r w:rsidRPr="00264F27">
        <w:t>Rituxan-Ruxience-Truxima-Riabni-RA+Other</w:t>
      </w:r>
      <w:proofErr w:type="spellEnd"/>
      <w:r w:rsidRPr="00264F27">
        <w:t xml:space="preserve"> SGM)</w:t>
      </w:r>
    </w:p>
    <w:p w14:paraId="133AED89" w14:textId="77777777" w:rsidR="009F5CAD" w:rsidRPr="00264F27" w:rsidRDefault="009F5CAD" w:rsidP="009F5CAD">
      <w:pPr>
        <w:pStyle w:val="Heading3"/>
      </w:pPr>
      <w:r w:rsidRPr="00264F27">
        <w:t>Compendial Uses</w:t>
      </w:r>
    </w:p>
    <w:p w14:paraId="56B7675A" w14:textId="77777777" w:rsidR="009F5CAD" w:rsidRPr="00264F27" w:rsidRDefault="009F5CAD" w:rsidP="009F5CAD">
      <w:pPr>
        <w:pStyle w:val="ListParagraph"/>
        <w:numPr>
          <w:ilvl w:val="0"/>
          <w:numId w:val="45"/>
        </w:numPr>
      </w:pPr>
      <w:r w:rsidRPr="00264F27">
        <w:t>Autoimmune hemolytic anemia</w:t>
      </w:r>
    </w:p>
    <w:p w14:paraId="5504C594" w14:textId="77777777" w:rsidR="009F5CAD" w:rsidRPr="00264F27" w:rsidRDefault="009F5CAD" w:rsidP="009F5CAD">
      <w:pPr>
        <w:pStyle w:val="ListParagraph"/>
        <w:numPr>
          <w:ilvl w:val="0"/>
          <w:numId w:val="45"/>
        </w:numPr>
      </w:pPr>
      <w:r w:rsidRPr="00264F27">
        <w:t>B-cell acute lymphoblastic leukemia (ALL)</w:t>
      </w:r>
    </w:p>
    <w:p w14:paraId="331CAF75" w14:textId="77777777" w:rsidR="009F5CAD" w:rsidRPr="00264F27" w:rsidRDefault="009F5CAD" w:rsidP="009F5CAD">
      <w:pPr>
        <w:pStyle w:val="ListParagraph"/>
        <w:numPr>
          <w:ilvl w:val="0"/>
          <w:numId w:val="45"/>
        </w:numPr>
      </w:pPr>
      <w:r w:rsidRPr="00264F27">
        <w:t>B-cell lymphomas</w:t>
      </w:r>
    </w:p>
    <w:p w14:paraId="6E83FC89" w14:textId="77777777" w:rsidR="009F5CAD" w:rsidRPr="00264F27" w:rsidRDefault="009F5CAD" w:rsidP="009F5CAD">
      <w:pPr>
        <w:pStyle w:val="ListParagraph"/>
        <w:numPr>
          <w:ilvl w:val="1"/>
          <w:numId w:val="45"/>
        </w:numPr>
      </w:pPr>
      <w:bookmarkStart w:id="3" w:name="OLE_LINK15"/>
      <w:r w:rsidRPr="00264F27">
        <w:t>Human Immunodeficiency Virus (HIV) Related B-Cell lymphomas</w:t>
      </w:r>
      <w:bookmarkEnd w:id="3"/>
    </w:p>
    <w:p w14:paraId="587BF639" w14:textId="77777777" w:rsidR="009F5CAD" w:rsidRPr="00264F27" w:rsidRDefault="009F5CAD" w:rsidP="009F5CAD">
      <w:pPr>
        <w:pStyle w:val="ListParagraph"/>
        <w:numPr>
          <w:ilvl w:val="1"/>
          <w:numId w:val="45"/>
        </w:numPr>
      </w:pPr>
      <w:r w:rsidRPr="00264F27">
        <w:t>B-cell lymphoblastic lymphoma</w:t>
      </w:r>
    </w:p>
    <w:p w14:paraId="26A1DC9F" w14:textId="77777777" w:rsidR="009F5CAD" w:rsidRPr="00264F27" w:rsidRDefault="009F5CAD" w:rsidP="009F5CAD">
      <w:pPr>
        <w:pStyle w:val="ListParagraph"/>
        <w:numPr>
          <w:ilvl w:val="1"/>
          <w:numId w:val="45"/>
        </w:numPr>
      </w:pPr>
      <w:r w:rsidRPr="00264F27">
        <w:t>Burkitt lymphoma</w:t>
      </w:r>
    </w:p>
    <w:p w14:paraId="2A999987" w14:textId="77777777" w:rsidR="009F5CAD" w:rsidRPr="00264F27" w:rsidRDefault="009F5CAD" w:rsidP="009F5CAD">
      <w:pPr>
        <w:pStyle w:val="ListParagraph"/>
        <w:numPr>
          <w:ilvl w:val="1"/>
          <w:numId w:val="45"/>
        </w:numPr>
      </w:pPr>
      <w:r w:rsidRPr="00264F27">
        <w:t>Castleman’s disease</w:t>
      </w:r>
    </w:p>
    <w:p w14:paraId="61A39ABF" w14:textId="77777777" w:rsidR="009F5CAD" w:rsidRPr="00264F27" w:rsidRDefault="009F5CAD" w:rsidP="009F5CAD">
      <w:pPr>
        <w:pStyle w:val="ListParagraph"/>
        <w:numPr>
          <w:ilvl w:val="1"/>
          <w:numId w:val="45"/>
        </w:numPr>
      </w:pPr>
      <w:r w:rsidRPr="00264F27">
        <w:t>Diffuse Large B-Cell lymphoma</w:t>
      </w:r>
    </w:p>
    <w:p w14:paraId="5C746EE5" w14:textId="77777777" w:rsidR="009F5CAD" w:rsidRPr="00264F27" w:rsidRDefault="009F5CAD" w:rsidP="009F5CAD">
      <w:pPr>
        <w:pStyle w:val="ListParagraph"/>
        <w:numPr>
          <w:ilvl w:val="1"/>
          <w:numId w:val="45"/>
        </w:numPr>
      </w:pPr>
      <w:r w:rsidRPr="00264F27">
        <w:t>Follicular lymphoma</w:t>
      </w:r>
    </w:p>
    <w:p w14:paraId="79CF3B67" w14:textId="77777777" w:rsidR="009F5CAD" w:rsidRPr="00264F27" w:rsidRDefault="009F5CAD" w:rsidP="009F5CAD">
      <w:pPr>
        <w:pStyle w:val="ListParagraph"/>
        <w:numPr>
          <w:ilvl w:val="1"/>
          <w:numId w:val="45"/>
        </w:numPr>
      </w:pPr>
      <w:r w:rsidRPr="00264F27">
        <w:t>High grade B-cell lymphoma (including high-grade B-cell lymphoma with translocations of MYC and BCL2 and/or BCL6 [double/triple hit lymphoma], high-grade B-cell lymphoma, not otherwise specified)</w:t>
      </w:r>
    </w:p>
    <w:p w14:paraId="1E26D40F" w14:textId="77777777" w:rsidR="009F5CAD" w:rsidRPr="00264F27" w:rsidRDefault="009F5CAD" w:rsidP="009F5CAD">
      <w:pPr>
        <w:pStyle w:val="ListParagraph"/>
        <w:numPr>
          <w:ilvl w:val="1"/>
          <w:numId w:val="45"/>
        </w:numPr>
      </w:pPr>
      <w:r w:rsidRPr="00264F27">
        <w:t>Histological transformation of indolent lymphomas to diffuse large B-cell lymphoma</w:t>
      </w:r>
    </w:p>
    <w:p w14:paraId="52A1FDD1" w14:textId="77777777" w:rsidR="009F5CAD" w:rsidRPr="00264F27" w:rsidRDefault="009F5CAD" w:rsidP="009F5CAD">
      <w:pPr>
        <w:pStyle w:val="ListParagraph"/>
        <w:numPr>
          <w:ilvl w:val="1"/>
          <w:numId w:val="45"/>
        </w:numPr>
      </w:pPr>
      <w:r w:rsidRPr="00264F27">
        <w:t>Histological transformation of indolent lymphomas to high-grade B-cell lymphoma with MYC and BCL6 without BCL2 rearrangements</w:t>
      </w:r>
    </w:p>
    <w:p w14:paraId="2B9327E0" w14:textId="77777777" w:rsidR="009F5CAD" w:rsidRPr="00264F27" w:rsidRDefault="009F5CAD" w:rsidP="009F5CAD">
      <w:pPr>
        <w:pStyle w:val="ListParagraph"/>
        <w:numPr>
          <w:ilvl w:val="1"/>
          <w:numId w:val="45"/>
        </w:numPr>
      </w:pPr>
      <w:r w:rsidRPr="00264F27">
        <w:t>Mantle cell lymphoma</w:t>
      </w:r>
    </w:p>
    <w:p w14:paraId="476D73E6" w14:textId="77777777" w:rsidR="009F5CAD" w:rsidRPr="00264F27" w:rsidRDefault="009F5CAD" w:rsidP="009F5CAD">
      <w:pPr>
        <w:pStyle w:val="ListParagraph"/>
        <w:numPr>
          <w:ilvl w:val="1"/>
          <w:numId w:val="45"/>
        </w:numPr>
      </w:pPr>
      <w:r w:rsidRPr="00264F27">
        <w:t>Marginal zone lymphomas</w:t>
      </w:r>
    </w:p>
    <w:p w14:paraId="4D0408E2" w14:textId="77777777" w:rsidR="009F5CAD" w:rsidRPr="00264F27" w:rsidRDefault="009F5CAD" w:rsidP="009F5CAD">
      <w:pPr>
        <w:pStyle w:val="ListParagraph"/>
        <w:numPr>
          <w:ilvl w:val="2"/>
          <w:numId w:val="45"/>
        </w:numPr>
      </w:pPr>
      <w:r w:rsidRPr="00264F27">
        <w:t>Nodal marginal zone lymphoma</w:t>
      </w:r>
    </w:p>
    <w:p w14:paraId="2ED5A723" w14:textId="77777777" w:rsidR="009F5CAD" w:rsidRPr="00264F27" w:rsidRDefault="009F5CAD" w:rsidP="009F5CAD">
      <w:pPr>
        <w:pStyle w:val="ListParagraph"/>
        <w:numPr>
          <w:ilvl w:val="2"/>
          <w:numId w:val="45"/>
        </w:numPr>
      </w:pPr>
      <w:bookmarkStart w:id="4" w:name="OLE_LINK10"/>
      <w:proofErr w:type="spellStart"/>
      <w:r w:rsidRPr="00264F27">
        <w:t>Extranodal</w:t>
      </w:r>
      <w:proofErr w:type="spellEnd"/>
      <w:r w:rsidRPr="00264F27">
        <w:t xml:space="preserve"> marginal zone lymphoma (gastric and non-gastric mucosa associated lymphoid tissue {MALT} lymphoma)</w:t>
      </w:r>
    </w:p>
    <w:bookmarkEnd w:id="4"/>
    <w:p w14:paraId="5579A5CE" w14:textId="77777777" w:rsidR="009F5CAD" w:rsidRPr="00264F27" w:rsidRDefault="009F5CAD" w:rsidP="009F5CAD">
      <w:pPr>
        <w:pStyle w:val="ListParagraph"/>
        <w:numPr>
          <w:ilvl w:val="2"/>
          <w:numId w:val="45"/>
        </w:numPr>
      </w:pPr>
      <w:r w:rsidRPr="00264F27">
        <w:t>Splenic marginal zone lymphoma</w:t>
      </w:r>
    </w:p>
    <w:p w14:paraId="36DAC39A" w14:textId="77777777" w:rsidR="009F5CAD" w:rsidRPr="00264F27" w:rsidRDefault="009F5CAD" w:rsidP="009F5CAD">
      <w:pPr>
        <w:pStyle w:val="ListParagraph"/>
        <w:numPr>
          <w:ilvl w:val="1"/>
          <w:numId w:val="45"/>
        </w:numPr>
      </w:pPr>
      <w:r w:rsidRPr="00264F27">
        <w:t>Post-transplant lymphoproliferative disorder (PTLD)</w:t>
      </w:r>
    </w:p>
    <w:p w14:paraId="018EB6C7" w14:textId="77777777" w:rsidR="009F5CAD" w:rsidRPr="00264F27" w:rsidRDefault="009F5CAD" w:rsidP="009F5CAD">
      <w:pPr>
        <w:pStyle w:val="ListParagraph"/>
        <w:numPr>
          <w:ilvl w:val="1"/>
          <w:numId w:val="45"/>
        </w:numPr>
      </w:pPr>
      <w:r w:rsidRPr="00264F27">
        <w:t>Pediatric Aggressive Mature B-Cell Lymphomas</w:t>
      </w:r>
    </w:p>
    <w:p w14:paraId="5B069CE0" w14:textId="77777777" w:rsidR="009F5CAD" w:rsidRPr="00264F27" w:rsidRDefault="009F5CAD" w:rsidP="009F5CAD">
      <w:pPr>
        <w:pStyle w:val="ListParagraph"/>
        <w:numPr>
          <w:ilvl w:val="1"/>
          <w:numId w:val="45"/>
        </w:numPr>
      </w:pPr>
      <w:r w:rsidRPr="00264F27">
        <w:t>Primary Mediastinal Large B-Cell Lymphoma</w:t>
      </w:r>
    </w:p>
    <w:p w14:paraId="27BD1A24" w14:textId="77777777" w:rsidR="009F5CAD" w:rsidRPr="00264F27" w:rsidRDefault="009F5CAD" w:rsidP="009F5CAD">
      <w:pPr>
        <w:pStyle w:val="ListParagraph"/>
        <w:numPr>
          <w:ilvl w:val="0"/>
          <w:numId w:val="45"/>
        </w:numPr>
      </w:pPr>
      <w:r w:rsidRPr="00264F27">
        <w:t>Central nervous system (CNS) cancers</w:t>
      </w:r>
    </w:p>
    <w:p w14:paraId="1CA09113" w14:textId="77777777" w:rsidR="009F5CAD" w:rsidRPr="00264F27" w:rsidRDefault="009F5CAD" w:rsidP="009F5CAD">
      <w:pPr>
        <w:pStyle w:val="ListParagraph"/>
        <w:numPr>
          <w:ilvl w:val="1"/>
          <w:numId w:val="45"/>
        </w:numPr>
      </w:pPr>
      <w:r w:rsidRPr="00264F27">
        <w:t>Leptomeningeal metastases from lymphomas</w:t>
      </w:r>
    </w:p>
    <w:p w14:paraId="56EA5001" w14:textId="77777777" w:rsidR="009F5CAD" w:rsidRPr="00264F27" w:rsidRDefault="009F5CAD" w:rsidP="009F5CAD">
      <w:pPr>
        <w:pStyle w:val="ListParagraph"/>
        <w:numPr>
          <w:ilvl w:val="1"/>
          <w:numId w:val="45"/>
        </w:numPr>
      </w:pPr>
      <w:r w:rsidRPr="00264F27">
        <w:t>Primary CNS lymphomas</w:t>
      </w:r>
    </w:p>
    <w:p w14:paraId="760C28DA" w14:textId="77777777" w:rsidR="009F5CAD" w:rsidRPr="00264F27" w:rsidRDefault="009F5CAD" w:rsidP="009F5CAD">
      <w:pPr>
        <w:pStyle w:val="ListParagraph"/>
        <w:numPr>
          <w:ilvl w:val="0"/>
          <w:numId w:val="45"/>
        </w:numPr>
      </w:pPr>
      <w:r w:rsidRPr="00264F27">
        <w:t>Chronic graft-versus-host disease (GVHD)</w:t>
      </w:r>
    </w:p>
    <w:p w14:paraId="4B882204" w14:textId="77777777" w:rsidR="009F5CAD" w:rsidRPr="00264F27" w:rsidRDefault="009F5CAD" w:rsidP="009F5CAD">
      <w:pPr>
        <w:pStyle w:val="ListParagraph"/>
        <w:numPr>
          <w:ilvl w:val="0"/>
          <w:numId w:val="45"/>
        </w:numPr>
      </w:pPr>
      <w:r w:rsidRPr="00264F27">
        <w:t>CLL/Small lymphocytic lymphoma (SLL)</w:t>
      </w:r>
    </w:p>
    <w:p w14:paraId="408DBFCE" w14:textId="77777777" w:rsidR="009F5CAD" w:rsidRPr="00264F27" w:rsidRDefault="009F5CAD" w:rsidP="009F5CAD">
      <w:pPr>
        <w:pStyle w:val="ListParagraph"/>
        <w:numPr>
          <w:ilvl w:val="0"/>
          <w:numId w:val="45"/>
        </w:numPr>
      </w:pPr>
      <w:r w:rsidRPr="00264F27">
        <w:t>Hairy cell leukemia</w:t>
      </w:r>
    </w:p>
    <w:p w14:paraId="19041F33" w14:textId="77777777" w:rsidR="009F5CAD" w:rsidRPr="00264F27" w:rsidRDefault="009F5CAD" w:rsidP="009F5CAD">
      <w:pPr>
        <w:pStyle w:val="ListParagraph"/>
        <w:numPr>
          <w:ilvl w:val="0"/>
          <w:numId w:val="45"/>
        </w:numPr>
      </w:pPr>
      <w:r w:rsidRPr="00264F27">
        <w:t>Rosai-Dorfman disease</w:t>
      </w:r>
    </w:p>
    <w:p w14:paraId="4E2DA771" w14:textId="77777777" w:rsidR="009F5CAD" w:rsidRPr="00264F27" w:rsidRDefault="009F5CAD" w:rsidP="009F5CAD">
      <w:pPr>
        <w:pStyle w:val="ListParagraph"/>
        <w:numPr>
          <w:ilvl w:val="0"/>
          <w:numId w:val="45"/>
        </w:numPr>
      </w:pPr>
      <w:bookmarkStart w:id="5" w:name="OLE_LINK12"/>
      <w:r w:rsidRPr="00264F27">
        <w:t>Hodgkin’s lymphoma, nodular lymphocyte-predominant</w:t>
      </w:r>
    </w:p>
    <w:bookmarkEnd w:id="5"/>
    <w:p w14:paraId="487D7191" w14:textId="77777777" w:rsidR="009F5CAD" w:rsidRPr="00264F27" w:rsidRDefault="009F5CAD" w:rsidP="009F5CAD">
      <w:pPr>
        <w:pStyle w:val="ListParagraph"/>
        <w:numPr>
          <w:ilvl w:val="0"/>
          <w:numId w:val="45"/>
        </w:numPr>
      </w:pPr>
      <w:r w:rsidRPr="00264F27">
        <w:t>Immune checkpoint inhibitor-related toxicities</w:t>
      </w:r>
    </w:p>
    <w:p w14:paraId="0F7AA783" w14:textId="77777777" w:rsidR="009F5CAD" w:rsidRPr="00264F27" w:rsidRDefault="009F5CAD" w:rsidP="009F5CAD">
      <w:pPr>
        <w:pStyle w:val="ListParagraph"/>
        <w:numPr>
          <w:ilvl w:val="0"/>
          <w:numId w:val="45"/>
        </w:numPr>
      </w:pPr>
      <w:r w:rsidRPr="00264F27">
        <w:t>Prevention of Epstein-Barr virus (EBV)-related PTLD in high risk patients</w:t>
      </w:r>
    </w:p>
    <w:p w14:paraId="6F790C47" w14:textId="77777777" w:rsidR="009F5CAD" w:rsidRPr="00264F27" w:rsidRDefault="009F5CAD" w:rsidP="009F5CAD">
      <w:pPr>
        <w:pStyle w:val="ListParagraph"/>
        <w:numPr>
          <w:ilvl w:val="0"/>
          <w:numId w:val="45"/>
        </w:numPr>
      </w:pPr>
      <w:r w:rsidRPr="00264F27">
        <w:t>Primary cutaneous B-cell lymphoma</w:t>
      </w:r>
    </w:p>
    <w:p w14:paraId="11D8E8C5" w14:textId="77777777" w:rsidR="009F5CAD" w:rsidRPr="00264F27" w:rsidRDefault="009F5CAD" w:rsidP="009F5CAD">
      <w:pPr>
        <w:pStyle w:val="ListParagraph"/>
        <w:numPr>
          <w:ilvl w:val="0"/>
          <w:numId w:val="45"/>
        </w:numPr>
      </w:pPr>
      <w:r w:rsidRPr="00264F27">
        <w:t>Relapsed/refractory immune or idiopathic thrombocytopenic purpura (ITP)</w:t>
      </w:r>
    </w:p>
    <w:p w14:paraId="49669379" w14:textId="77777777" w:rsidR="009F5CAD" w:rsidRPr="00264F27" w:rsidRDefault="009F5CAD" w:rsidP="009F5CAD">
      <w:pPr>
        <w:pStyle w:val="ListParagraph"/>
        <w:numPr>
          <w:ilvl w:val="0"/>
          <w:numId w:val="45"/>
        </w:numPr>
      </w:pPr>
      <w:r w:rsidRPr="00264F27">
        <w:t>Thrombotic thrombocytopenic purpura</w:t>
      </w:r>
    </w:p>
    <w:p w14:paraId="7F3474DA" w14:textId="77777777" w:rsidR="009F5CAD" w:rsidRPr="00264F27" w:rsidRDefault="009F5CAD" w:rsidP="009F5CAD">
      <w:pPr>
        <w:pStyle w:val="ListParagraph"/>
        <w:numPr>
          <w:ilvl w:val="0"/>
          <w:numId w:val="45"/>
        </w:numPr>
      </w:pPr>
      <w:proofErr w:type="spellStart"/>
      <w:r w:rsidRPr="00264F27">
        <w:t>Waldenström’s</w:t>
      </w:r>
      <w:proofErr w:type="spellEnd"/>
      <w:r w:rsidRPr="00264F27">
        <w:t xml:space="preserve"> macroglobulinemia/lymphoplasmacytic lymphoma (LPL)/ Bing-Neel syndrome</w:t>
      </w:r>
    </w:p>
    <w:p w14:paraId="1A73BE9E" w14:textId="77777777" w:rsidR="009F5CAD" w:rsidRPr="00264F27" w:rsidRDefault="009F5CAD" w:rsidP="009F5CAD">
      <w:pPr>
        <w:pStyle w:val="ListParagraph"/>
        <w:numPr>
          <w:ilvl w:val="0"/>
          <w:numId w:val="45"/>
        </w:numPr>
      </w:pPr>
      <w:r w:rsidRPr="00264F27">
        <w:t>Allogeneic transplant conditioning</w:t>
      </w:r>
    </w:p>
    <w:p w14:paraId="65646AC5" w14:textId="77777777" w:rsidR="009F5CAD" w:rsidRPr="00264F27" w:rsidRDefault="009F5CAD" w:rsidP="009F5CAD">
      <w:pPr>
        <w:pStyle w:val="ListParagraph"/>
        <w:numPr>
          <w:ilvl w:val="0"/>
          <w:numId w:val="45"/>
        </w:numPr>
        <w:spacing w:after="120"/>
      </w:pPr>
      <w:r w:rsidRPr="00264F27">
        <w:t xml:space="preserve">For other compendial uses, refer to </w:t>
      </w:r>
      <w:proofErr w:type="spellStart"/>
      <w:r w:rsidRPr="00264F27">
        <w:t>Rituxan-Ruxience-Truxima-Riabni-RA+Other</w:t>
      </w:r>
      <w:proofErr w:type="spellEnd"/>
      <w:r w:rsidRPr="00264F27">
        <w:t xml:space="preserve"> SGM</w:t>
      </w:r>
    </w:p>
    <w:p w14:paraId="5860EA52" w14:textId="77777777" w:rsidR="009F5CAD" w:rsidRPr="00264F27" w:rsidRDefault="009F5CAD" w:rsidP="009F5CAD">
      <w:pPr>
        <w:pStyle w:val="BodyText"/>
        <w:rPr>
          <w:rFonts w:eastAsia="Arial"/>
        </w:rPr>
      </w:pPr>
      <w:r w:rsidRPr="00264F27">
        <w:t xml:space="preserve">All other indications are considered experimental/investigational and </w:t>
      </w:r>
      <w:r w:rsidRPr="00264F27">
        <w:rPr>
          <w:rFonts w:eastAsia="Arial"/>
        </w:rPr>
        <w:t>not medically necessary.</w:t>
      </w:r>
    </w:p>
    <w:p w14:paraId="190A3511" w14:textId="77777777" w:rsidR="009F5CAD" w:rsidRPr="00264F27" w:rsidRDefault="009F5CAD" w:rsidP="009F5CAD">
      <w:pPr>
        <w:pStyle w:val="Heading2"/>
      </w:pPr>
      <w:r w:rsidRPr="00264F27">
        <w:t>Documentation</w:t>
      </w:r>
    </w:p>
    <w:p w14:paraId="37A28885" w14:textId="77777777" w:rsidR="009F5CAD" w:rsidRPr="00264F27" w:rsidRDefault="009F5CAD" w:rsidP="009F5CAD">
      <w:pPr>
        <w:pStyle w:val="BodyText"/>
      </w:pPr>
      <w:r w:rsidRPr="00264F27">
        <w:t>Submission of the following information is necessary to initiate the prior authorization review: Testing or analysis confirming CD20 protein on the surface of the B-cell (if applicable)</w:t>
      </w:r>
    </w:p>
    <w:p w14:paraId="715C2AC2" w14:textId="77777777" w:rsidR="009F5CAD" w:rsidRPr="00264F27" w:rsidRDefault="009F5CAD" w:rsidP="009F5CAD">
      <w:pPr>
        <w:pStyle w:val="Heading2"/>
      </w:pPr>
      <w:r w:rsidRPr="00264F27">
        <w:t>Coverage Criteria</w:t>
      </w:r>
    </w:p>
    <w:p w14:paraId="77E14983" w14:textId="77777777" w:rsidR="009F5CAD" w:rsidRPr="00264F27" w:rsidRDefault="009F5CAD" w:rsidP="009F5CAD">
      <w:pPr>
        <w:pStyle w:val="Heading3"/>
        <w:rPr>
          <w:vertAlign w:val="superscript"/>
        </w:rPr>
      </w:pPr>
      <w:r w:rsidRPr="00264F27">
        <w:t>Oncologic Indications</w:t>
      </w:r>
    </w:p>
    <w:p w14:paraId="18CE1C4E" w14:textId="77777777" w:rsidR="009F5CAD" w:rsidRPr="00264F27" w:rsidRDefault="009F5CAD" w:rsidP="009F5CAD">
      <w:pPr>
        <w:pStyle w:val="BodyText"/>
      </w:pPr>
      <w:r w:rsidRPr="00264F27">
        <w:t xml:space="preserve">Authorization of 12 months may be granted for treatment of any of the following oncologic disorders that are CD20-positive as confirmed by testing or analysis: </w:t>
      </w:r>
    </w:p>
    <w:p w14:paraId="36209D99" w14:textId="77777777" w:rsidR="009F5CAD" w:rsidRPr="00264F27" w:rsidRDefault="009F5CAD" w:rsidP="009F5CAD">
      <w:pPr>
        <w:pStyle w:val="ListParagraph"/>
        <w:numPr>
          <w:ilvl w:val="0"/>
          <w:numId w:val="47"/>
        </w:numPr>
      </w:pPr>
      <w:r w:rsidRPr="00264F27">
        <w:t>B-cell acute lymphoblastic leukemia (ALL)</w:t>
      </w:r>
    </w:p>
    <w:p w14:paraId="1C4AD871" w14:textId="77777777" w:rsidR="009F5CAD" w:rsidRPr="00264F27" w:rsidRDefault="009F5CAD" w:rsidP="009F5CAD">
      <w:pPr>
        <w:pStyle w:val="ListParagraph"/>
        <w:numPr>
          <w:ilvl w:val="0"/>
          <w:numId w:val="47"/>
        </w:numPr>
      </w:pPr>
      <w:r w:rsidRPr="00264F27">
        <w:t>B-cell lymphomas:</w:t>
      </w:r>
    </w:p>
    <w:p w14:paraId="7E5E2311" w14:textId="77777777" w:rsidR="009F5CAD" w:rsidRPr="00264F27" w:rsidRDefault="009F5CAD" w:rsidP="009F5CAD">
      <w:pPr>
        <w:pStyle w:val="ListParagraph"/>
        <w:numPr>
          <w:ilvl w:val="1"/>
          <w:numId w:val="47"/>
        </w:numPr>
      </w:pPr>
      <w:bookmarkStart w:id="6" w:name="OLE_LINK7"/>
      <w:r w:rsidRPr="00264F27">
        <w:t>HIV-Related B-Cell Lymphomas</w:t>
      </w:r>
      <w:bookmarkEnd w:id="6"/>
    </w:p>
    <w:p w14:paraId="7C742FF8" w14:textId="77777777" w:rsidR="009F5CAD" w:rsidRPr="00264F27" w:rsidRDefault="009F5CAD" w:rsidP="009F5CAD">
      <w:pPr>
        <w:pStyle w:val="ListParagraph"/>
        <w:numPr>
          <w:ilvl w:val="1"/>
          <w:numId w:val="47"/>
        </w:numPr>
      </w:pPr>
      <w:r w:rsidRPr="00264F27">
        <w:t>B-cell lymphoblastic lymphoma</w:t>
      </w:r>
    </w:p>
    <w:p w14:paraId="10613369" w14:textId="77777777" w:rsidR="009F5CAD" w:rsidRPr="00264F27" w:rsidRDefault="009F5CAD" w:rsidP="009F5CAD">
      <w:pPr>
        <w:pStyle w:val="ListParagraph"/>
        <w:numPr>
          <w:ilvl w:val="1"/>
          <w:numId w:val="47"/>
        </w:numPr>
      </w:pPr>
      <w:r w:rsidRPr="00264F27">
        <w:t>Burkitt lymphoma</w:t>
      </w:r>
    </w:p>
    <w:p w14:paraId="7BFDEF6C" w14:textId="77777777" w:rsidR="009F5CAD" w:rsidRPr="00264F27" w:rsidRDefault="009F5CAD" w:rsidP="009F5CAD">
      <w:pPr>
        <w:pStyle w:val="ListParagraph"/>
        <w:numPr>
          <w:ilvl w:val="1"/>
          <w:numId w:val="47"/>
        </w:numPr>
      </w:pPr>
      <w:r w:rsidRPr="00264F27">
        <w:t>Castleman’s disease</w:t>
      </w:r>
    </w:p>
    <w:p w14:paraId="57D70FD9" w14:textId="77777777" w:rsidR="009F5CAD" w:rsidRPr="00264F27" w:rsidRDefault="009F5CAD" w:rsidP="009F5CAD">
      <w:pPr>
        <w:pStyle w:val="ListParagraph"/>
        <w:numPr>
          <w:ilvl w:val="1"/>
          <w:numId w:val="47"/>
        </w:numPr>
      </w:pPr>
      <w:r w:rsidRPr="00264F27">
        <w:t>Diffuse large B-cell lymphoma</w:t>
      </w:r>
    </w:p>
    <w:p w14:paraId="7087DD5B" w14:textId="77777777" w:rsidR="009F5CAD" w:rsidRPr="00264F27" w:rsidRDefault="009F5CAD" w:rsidP="009F5CAD">
      <w:pPr>
        <w:pStyle w:val="ListParagraph"/>
        <w:numPr>
          <w:ilvl w:val="1"/>
          <w:numId w:val="47"/>
        </w:numPr>
      </w:pPr>
      <w:r w:rsidRPr="00264F27">
        <w:t>Follicular lymphoma</w:t>
      </w:r>
    </w:p>
    <w:p w14:paraId="2743F0FC" w14:textId="77777777" w:rsidR="009F5CAD" w:rsidRPr="00264F27" w:rsidRDefault="009F5CAD" w:rsidP="009F5CAD">
      <w:pPr>
        <w:pStyle w:val="ListParagraph"/>
        <w:numPr>
          <w:ilvl w:val="1"/>
          <w:numId w:val="47"/>
        </w:numPr>
      </w:pPr>
      <w:r w:rsidRPr="00264F27">
        <w:t>High grade B-cell lymphoma (including high-grade B-cell lymphoma with translocations of MYC and BCL2 and/or BCL6 [double/triple hit lymphoma], high-grade B-cell lymphoma, not otherwise specified)</w:t>
      </w:r>
    </w:p>
    <w:p w14:paraId="7480B003" w14:textId="77777777" w:rsidR="009F5CAD" w:rsidRPr="00264F27" w:rsidRDefault="009F5CAD" w:rsidP="009F5CAD">
      <w:pPr>
        <w:pStyle w:val="ListParagraph"/>
        <w:numPr>
          <w:ilvl w:val="1"/>
          <w:numId w:val="47"/>
        </w:numPr>
      </w:pPr>
      <w:r w:rsidRPr="00264F27">
        <w:t>Histological transformation of indolent lymphomas to diffuse large B-cell lymphoma</w:t>
      </w:r>
    </w:p>
    <w:p w14:paraId="07ED5356" w14:textId="77777777" w:rsidR="009F5CAD" w:rsidRPr="00264F27" w:rsidRDefault="009F5CAD" w:rsidP="009F5CAD">
      <w:pPr>
        <w:pStyle w:val="ListParagraph"/>
        <w:numPr>
          <w:ilvl w:val="1"/>
          <w:numId w:val="47"/>
        </w:numPr>
      </w:pPr>
      <w:r w:rsidRPr="00264F27">
        <w:t>Histological transformation of indolent lymphomas to high-grade B-cell lymphoma with MYC and BCL6 without BCL2 rearrangements</w:t>
      </w:r>
    </w:p>
    <w:p w14:paraId="36A2C19D" w14:textId="77777777" w:rsidR="009F5CAD" w:rsidRPr="00264F27" w:rsidRDefault="009F5CAD" w:rsidP="009F5CAD">
      <w:pPr>
        <w:pStyle w:val="ListParagraph"/>
        <w:numPr>
          <w:ilvl w:val="1"/>
          <w:numId w:val="47"/>
        </w:numPr>
      </w:pPr>
      <w:r w:rsidRPr="00264F27">
        <w:t>Mantle cell lymphoma</w:t>
      </w:r>
    </w:p>
    <w:p w14:paraId="1CEA86CB" w14:textId="77777777" w:rsidR="009F5CAD" w:rsidRPr="00264F27" w:rsidRDefault="009F5CAD" w:rsidP="009F5CAD">
      <w:pPr>
        <w:pStyle w:val="ListParagraph"/>
        <w:numPr>
          <w:ilvl w:val="1"/>
          <w:numId w:val="47"/>
        </w:numPr>
      </w:pPr>
      <w:r w:rsidRPr="00264F27">
        <w:t>Marginal zone lymphomas</w:t>
      </w:r>
    </w:p>
    <w:p w14:paraId="6C41DCA8" w14:textId="77777777" w:rsidR="009F5CAD" w:rsidRPr="00264F27" w:rsidRDefault="009F5CAD" w:rsidP="009F5CAD">
      <w:pPr>
        <w:pStyle w:val="ListParagraph"/>
        <w:numPr>
          <w:ilvl w:val="2"/>
          <w:numId w:val="47"/>
        </w:numPr>
      </w:pPr>
      <w:r w:rsidRPr="00264F27">
        <w:t>Nodal marginal zone lymphoma</w:t>
      </w:r>
    </w:p>
    <w:p w14:paraId="35BAFABD" w14:textId="77777777" w:rsidR="009F5CAD" w:rsidRPr="00264F27" w:rsidRDefault="009F5CAD" w:rsidP="009F5CAD">
      <w:pPr>
        <w:pStyle w:val="ListParagraph"/>
        <w:numPr>
          <w:ilvl w:val="2"/>
          <w:numId w:val="47"/>
        </w:numPr>
      </w:pPr>
      <w:proofErr w:type="spellStart"/>
      <w:r w:rsidRPr="00264F27">
        <w:t>Extranodal</w:t>
      </w:r>
      <w:proofErr w:type="spellEnd"/>
      <w:r w:rsidRPr="00264F27">
        <w:t xml:space="preserve"> marginal zone lymphoma (gastric and non-gastric MALT lymphoma)</w:t>
      </w:r>
    </w:p>
    <w:p w14:paraId="6131F91A" w14:textId="77777777" w:rsidR="009F5CAD" w:rsidRPr="00264F27" w:rsidRDefault="009F5CAD" w:rsidP="009F5CAD">
      <w:pPr>
        <w:pStyle w:val="ListParagraph"/>
        <w:numPr>
          <w:ilvl w:val="2"/>
          <w:numId w:val="47"/>
        </w:numPr>
      </w:pPr>
      <w:r w:rsidRPr="00264F27">
        <w:t>Splenic marginal zone lymphoma</w:t>
      </w:r>
    </w:p>
    <w:p w14:paraId="552E4F7B" w14:textId="77777777" w:rsidR="009F5CAD" w:rsidRPr="00264F27" w:rsidRDefault="009F5CAD" w:rsidP="009F5CAD">
      <w:pPr>
        <w:pStyle w:val="ListParagraph"/>
        <w:numPr>
          <w:ilvl w:val="1"/>
          <w:numId w:val="47"/>
        </w:numPr>
      </w:pPr>
      <w:r w:rsidRPr="00264F27">
        <w:t>Post-transplant lymphoproliferative disorder (PTLD)</w:t>
      </w:r>
    </w:p>
    <w:p w14:paraId="6CAC173E" w14:textId="77777777" w:rsidR="009F5CAD" w:rsidRPr="00264F27" w:rsidRDefault="009F5CAD" w:rsidP="009F5CAD">
      <w:pPr>
        <w:pStyle w:val="ListParagraph"/>
        <w:numPr>
          <w:ilvl w:val="1"/>
          <w:numId w:val="47"/>
        </w:numPr>
      </w:pPr>
      <w:r w:rsidRPr="00264F27">
        <w:t>Pediatric Aggressive Mature B-Cell Lymphomas</w:t>
      </w:r>
    </w:p>
    <w:p w14:paraId="2104A581" w14:textId="77777777" w:rsidR="009F5CAD" w:rsidRPr="00264F27" w:rsidRDefault="009F5CAD" w:rsidP="009F5CAD">
      <w:pPr>
        <w:pStyle w:val="ListParagraph"/>
        <w:numPr>
          <w:ilvl w:val="1"/>
          <w:numId w:val="47"/>
        </w:numPr>
      </w:pPr>
      <w:bookmarkStart w:id="7" w:name="OLE_LINK1"/>
      <w:r w:rsidRPr="00264F27">
        <w:t>Primary Mediastinal Large B-Cell Lymphoma</w:t>
      </w:r>
    </w:p>
    <w:bookmarkEnd w:id="7"/>
    <w:p w14:paraId="4A4E02A1" w14:textId="77777777" w:rsidR="009F5CAD" w:rsidRPr="00264F27" w:rsidRDefault="009F5CAD" w:rsidP="009F5CAD">
      <w:pPr>
        <w:pStyle w:val="ListParagraph"/>
        <w:numPr>
          <w:ilvl w:val="0"/>
          <w:numId w:val="47"/>
        </w:numPr>
      </w:pPr>
      <w:r w:rsidRPr="00264F27">
        <w:t>Central nervous system (CNS) cancers:</w:t>
      </w:r>
    </w:p>
    <w:p w14:paraId="2DC7C03E" w14:textId="77777777" w:rsidR="009F5CAD" w:rsidRPr="00264F27" w:rsidRDefault="009F5CAD" w:rsidP="009F5CAD">
      <w:pPr>
        <w:pStyle w:val="ListParagraph"/>
        <w:numPr>
          <w:ilvl w:val="1"/>
          <w:numId w:val="47"/>
        </w:numPr>
      </w:pPr>
      <w:r w:rsidRPr="00264F27">
        <w:t>Leptomeningeal metastases from lymphomas</w:t>
      </w:r>
    </w:p>
    <w:p w14:paraId="6326D79F" w14:textId="77777777" w:rsidR="009F5CAD" w:rsidRPr="00264F27" w:rsidRDefault="009F5CAD" w:rsidP="009F5CAD">
      <w:pPr>
        <w:pStyle w:val="ListParagraph"/>
        <w:numPr>
          <w:ilvl w:val="1"/>
          <w:numId w:val="47"/>
        </w:numPr>
      </w:pPr>
      <w:r w:rsidRPr="00264F27">
        <w:t>Primary CNS lymphoma</w:t>
      </w:r>
    </w:p>
    <w:p w14:paraId="642AEB71" w14:textId="77777777" w:rsidR="009F5CAD" w:rsidRPr="00264F27" w:rsidRDefault="009F5CAD" w:rsidP="009F5CAD">
      <w:pPr>
        <w:pStyle w:val="ListParagraph"/>
        <w:numPr>
          <w:ilvl w:val="0"/>
          <w:numId w:val="47"/>
        </w:numPr>
      </w:pPr>
      <w:r w:rsidRPr="00264F27">
        <w:t>CLL/Small lymphocytic lymphoma (SLL)</w:t>
      </w:r>
    </w:p>
    <w:p w14:paraId="5D97317B" w14:textId="77777777" w:rsidR="009F5CAD" w:rsidRPr="00264F27" w:rsidRDefault="009F5CAD" w:rsidP="009F5CAD">
      <w:pPr>
        <w:pStyle w:val="ListParagraph"/>
        <w:numPr>
          <w:ilvl w:val="0"/>
          <w:numId w:val="47"/>
        </w:numPr>
      </w:pPr>
      <w:r w:rsidRPr="00264F27">
        <w:t>Hairy cell leukemia</w:t>
      </w:r>
    </w:p>
    <w:p w14:paraId="0C5216F3" w14:textId="77777777" w:rsidR="009F5CAD" w:rsidRPr="00264F27" w:rsidRDefault="009F5CAD" w:rsidP="009F5CAD">
      <w:pPr>
        <w:pStyle w:val="ListParagraph"/>
        <w:numPr>
          <w:ilvl w:val="0"/>
          <w:numId w:val="47"/>
        </w:numPr>
      </w:pPr>
      <w:r w:rsidRPr="00264F27">
        <w:t>Rosai-Dorfman disease</w:t>
      </w:r>
    </w:p>
    <w:p w14:paraId="444724E5" w14:textId="77777777" w:rsidR="009F5CAD" w:rsidRPr="00264F27" w:rsidRDefault="009F5CAD" w:rsidP="009F5CAD">
      <w:pPr>
        <w:pStyle w:val="ListParagraph"/>
        <w:numPr>
          <w:ilvl w:val="0"/>
          <w:numId w:val="47"/>
        </w:numPr>
      </w:pPr>
      <w:bookmarkStart w:id="8" w:name="OLE_LINK14"/>
      <w:r w:rsidRPr="00264F27">
        <w:t>Hodgkin’s lymphoma, nodular lymphocyte-predominant</w:t>
      </w:r>
    </w:p>
    <w:bookmarkEnd w:id="8"/>
    <w:p w14:paraId="785F3D01" w14:textId="77777777" w:rsidR="009F5CAD" w:rsidRPr="00264F27" w:rsidRDefault="009F5CAD" w:rsidP="009F5CAD">
      <w:pPr>
        <w:pStyle w:val="ListParagraph"/>
        <w:numPr>
          <w:ilvl w:val="0"/>
          <w:numId w:val="47"/>
        </w:numPr>
      </w:pPr>
      <w:r w:rsidRPr="00264F27">
        <w:t>Primary cutaneous B-cell lymphoma</w:t>
      </w:r>
    </w:p>
    <w:p w14:paraId="78B44B11" w14:textId="77777777" w:rsidR="009F5CAD" w:rsidRPr="00264F27" w:rsidRDefault="009F5CAD" w:rsidP="009F5CAD">
      <w:pPr>
        <w:pStyle w:val="ListParagraph"/>
        <w:numPr>
          <w:ilvl w:val="0"/>
          <w:numId w:val="47"/>
        </w:numPr>
      </w:pPr>
      <w:proofErr w:type="spellStart"/>
      <w:r w:rsidRPr="00264F27">
        <w:t>Waldenström’s</w:t>
      </w:r>
      <w:proofErr w:type="spellEnd"/>
      <w:r w:rsidRPr="00264F27">
        <w:t xml:space="preserve"> macroglobulinemia/lymphoplasmacytic lymphoma (LPL)/Bing-Neel syndrome</w:t>
      </w:r>
    </w:p>
    <w:p w14:paraId="37B0C72F" w14:textId="77777777" w:rsidR="009F5CAD" w:rsidRPr="00264F27" w:rsidRDefault="009F5CAD" w:rsidP="009F5CAD">
      <w:pPr>
        <w:pStyle w:val="Heading3"/>
        <w:rPr>
          <w:vertAlign w:val="superscript"/>
        </w:rPr>
      </w:pPr>
      <w:r w:rsidRPr="00264F27">
        <w:t>Hematologic Indications</w:t>
      </w:r>
    </w:p>
    <w:p w14:paraId="13D6213B" w14:textId="77777777" w:rsidR="009F5CAD" w:rsidRPr="00264F27" w:rsidRDefault="009F5CAD" w:rsidP="009F5CAD">
      <w:pPr>
        <w:pStyle w:val="BodyText"/>
      </w:pPr>
      <w:r w:rsidRPr="00264F27">
        <w:t>Authorization of 12 months may be granted for treatment of any of the following indications:</w:t>
      </w:r>
    </w:p>
    <w:p w14:paraId="18C58F08" w14:textId="77777777" w:rsidR="009F5CAD" w:rsidRPr="00264F27" w:rsidRDefault="009F5CAD" w:rsidP="009F5CAD">
      <w:pPr>
        <w:pStyle w:val="ListParagraph"/>
        <w:numPr>
          <w:ilvl w:val="0"/>
          <w:numId w:val="46"/>
        </w:numPr>
      </w:pPr>
      <w:r w:rsidRPr="00264F27">
        <w:t>Refractory immune or idiopathic thrombocytopenic purpura (ITP)</w:t>
      </w:r>
    </w:p>
    <w:p w14:paraId="6E0CDB07" w14:textId="77777777" w:rsidR="009F5CAD" w:rsidRPr="00264F27" w:rsidRDefault="009F5CAD" w:rsidP="009F5CAD">
      <w:pPr>
        <w:pStyle w:val="ListParagraph"/>
        <w:numPr>
          <w:ilvl w:val="0"/>
          <w:numId w:val="46"/>
        </w:numPr>
      </w:pPr>
      <w:r w:rsidRPr="00264F27">
        <w:t>Autoimmune hemolytic anemia</w:t>
      </w:r>
    </w:p>
    <w:p w14:paraId="7E3B936D" w14:textId="77777777" w:rsidR="009F5CAD" w:rsidRPr="00264F27" w:rsidRDefault="009F5CAD" w:rsidP="009F5CAD">
      <w:pPr>
        <w:pStyle w:val="ListParagraph"/>
        <w:numPr>
          <w:ilvl w:val="0"/>
          <w:numId w:val="46"/>
        </w:numPr>
      </w:pPr>
      <w:r w:rsidRPr="00264F27">
        <w:t>Thrombotic thrombocytopenic purpura</w:t>
      </w:r>
    </w:p>
    <w:p w14:paraId="4E93AE6A" w14:textId="77777777" w:rsidR="009F5CAD" w:rsidRPr="00264F27" w:rsidRDefault="009F5CAD" w:rsidP="009F5CAD">
      <w:pPr>
        <w:pStyle w:val="ListParagraph"/>
        <w:numPr>
          <w:ilvl w:val="0"/>
          <w:numId w:val="46"/>
        </w:numPr>
      </w:pPr>
      <w:r w:rsidRPr="00264F27">
        <w:t>Chronic graft-versus-host disease (GVHD)</w:t>
      </w:r>
    </w:p>
    <w:p w14:paraId="1296EF0E" w14:textId="77777777" w:rsidR="009F5CAD" w:rsidRPr="00264F27" w:rsidRDefault="009F5CAD" w:rsidP="009F5CAD">
      <w:pPr>
        <w:pStyle w:val="ListParagraph"/>
        <w:numPr>
          <w:ilvl w:val="0"/>
          <w:numId w:val="46"/>
        </w:numPr>
      </w:pPr>
      <w:bookmarkStart w:id="9" w:name="OLE_LINK22"/>
      <w:r w:rsidRPr="00264F27">
        <w:t xml:space="preserve">Prevention of Epstein-Barr virus (EBV)-related PTLD </w:t>
      </w:r>
    </w:p>
    <w:p w14:paraId="435D97B2" w14:textId="77777777" w:rsidR="009F5CAD" w:rsidRPr="00264F27" w:rsidRDefault="009F5CAD" w:rsidP="009F5CAD">
      <w:pPr>
        <w:pStyle w:val="ListParagraph"/>
        <w:numPr>
          <w:ilvl w:val="0"/>
          <w:numId w:val="46"/>
        </w:numPr>
      </w:pPr>
      <w:r w:rsidRPr="00264F27">
        <w:t>As part of a non-myeloablative conditioning regimen for allogeneic transplant</w:t>
      </w:r>
    </w:p>
    <w:p w14:paraId="7891568F" w14:textId="77777777" w:rsidR="009F5CAD" w:rsidRPr="00264F27" w:rsidRDefault="009F5CAD" w:rsidP="009F5CAD">
      <w:pPr>
        <w:pStyle w:val="Heading3"/>
      </w:pPr>
      <w:r w:rsidRPr="00264F27">
        <w:t>Immune Checkpoint Inhibitor-Related Toxicities</w:t>
      </w:r>
    </w:p>
    <w:p w14:paraId="7AB2B66A" w14:textId="77777777" w:rsidR="009F5CAD" w:rsidRPr="00264F27" w:rsidRDefault="009F5CAD" w:rsidP="009F5CAD">
      <w:pPr>
        <w:pStyle w:val="BodyText"/>
      </w:pPr>
      <w:r w:rsidRPr="00264F27">
        <w:t>Authorization of 3 months may be granted for treatment of immune checkpoint inhibitor-related toxicities.</w:t>
      </w:r>
    </w:p>
    <w:bookmarkEnd w:id="9"/>
    <w:p w14:paraId="350CF420" w14:textId="77777777" w:rsidR="009F5CAD" w:rsidRPr="00264F27" w:rsidRDefault="009F5CAD" w:rsidP="009F5CAD">
      <w:pPr>
        <w:pStyle w:val="Heading2"/>
      </w:pPr>
      <w:r w:rsidRPr="00264F27">
        <w:t>Continuation of Therapy</w:t>
      </w:r>
    </w:p>
    <w:p w14:paraId="4CFE2D97" w14:textId="77777777" w:rsidR="009F5CAD" w:rsidRPr="00264F27" w:rsidRDefault="009F5CAD" w:rsidP="009F5CAD">
      <w:pPr>
        <w:pStyle w:val="BodyText"/>
      </w:pPr>
      <w:r w:rsidRPr="00264F27">
        <w:t>For oncologic indications: Authorization of 12 months may be granted for continued treatment in members requesting reauthorization for an oncologic indication listed in coverage criteria section when there is no evidence of unacceptable toxicity.</w:t>
      </w:r>
    </w:p>
    <w:p w14:paraId="4E27DC03" w14:textId="77777777" w:rsidR="009F5CAD" w:rsidRPr="00264F27" w:rsidRDefault="009F5CAD" w:rsidP="009F5CAD">
      <w:pPr>
        <w:pStyle w:val="BodyText"/>
      </w:pPr>
      <w:r w:rsidRPr="00264F27">
        <w:t>For immune checkpoint inhibitor-related toxicities: Authorization of 3 months may be granted for continued treatment in members requesting reauthorization for treatment of immune checkpoint inhibitor-related toxicities who are experiencing benefit from therapy.</w:t>
      </w:r>
    </w:p>
    <w:p w14:paraId="6A3036FA" w14:textId="77777777" w:rsidR="009F5CAD" w:rsidRDefault="009F5CAD" w:rsidP="009F5CAD">
      <w:pPr>
        <w:pStyle w:val="BodyText"/>
      </w:pPr>
      <w:r w:rsidRPr="00264F27">
        <w:t>For all other indications: Authorization of 12 months may be granted for continued treatment in members requesting reauthorization for an indication listed in the coverage criteria section who are experiencing benefit from therapy.</w:t>
      </w:r>
    </w:p>
    <w:p w14:paraId="56BA177F" w14:textId="77777777" w:rsidR="009F5CAD" w:rsidRPr="00264F27" w:rsidRDefault="009F5CAD" w:rsidP="009F5CAD">
      <w:pPr>
        <w:pStyle w:val="Heading2"/>
      </w:pPr>
      <w:r w:rsidRPr="00264F27">
        <w:t>References</w:t>
      </w:r>
    </w:p>
    <w:p w14:paraId="3C243496" w14:textId="77777777" w:rsidR="009F5CAD" w:rsidRPr="00814755" w:rsidRDefault="009F5CAD" w:rsidP="009F5CAD">
      <w:pPr>
        <w:pStyle w:val="ReferenceOrdered"/>
      </w:pPr>
      <w:r w:rsidRPr="00814755">
        <w:t>Rituxan [package insert]. South San Francisco, CA: Genentech, Inc.; December 2021.</w:t>
      </w:r>
    </w:p>
    <w:p w14:paraId="540222FA" w14:textId="77777777" w:rsidR="009F5CAD" w:rsidRPr="00814755" w:rsidRDefault="009F5CAD" w:rsidP="009F5CAD">
      <w:pPr>
        <w:pStyle w:val="ReferenceOrdered"/>
      </w:pPr>
      <w:proofErr w:type="spellStart"/>
      <w:r w:rsidRPr="00814755">
        <w:t>Truxima</w:t>
      </w:r>
      <w:proofErr w:type="spellEnd"/>
      <w:r w:rsidRPr="00814755">
        <w:t xml:space="preserve"> [package insert]. North Wales, PA: Teva Pharmaceuticals USA, Inc.: February 2022.</w:t>
      </w:r>
    </w:p>
    <w:p w14:paraId="7104AB68" w14:textId="77777777" w:rsidR="009F5CAD" w:rsidRPr="00814755" w:rsidRDefault="009F5CAD" w:rsidP="009F5CAD">
      <w:pPr>
        <w:pStyle w:val="ReferenceOrdered"/>
      </w:pPr>
      <w:r w:rsidRPr="00814755">
        <w:t>Micromedex Solutions [database online]. Truven Health Analytics, Greenwood Village, Colorado, USA.</w:t>
      </w:r>
      <w:r>
        <w:t xml:space="preserve"> </w:t>
      </w:r>
      <w:r w:rsidRPr="00814755">
        <w:t xml:space="preserve">Available at: </w:t>
      </w:r>
      <w:hyperlink r:id="rId15" w:history="1">
        <w:r w:rsidRPr="00814755">
          <w:t>http://www.micromedexsolutions.com/</w:t>
        </w:r>
      </w:hyperlink>
      <w:r w:rsidRPr="00814755">
        <w:t>.</w:t>
      </w:r>
      <w:r>
        <w:t xml:space="preserve"> </w:t>
      </w:r>
      <w:r w:rsidRPr="00814755">
        <w:t xml:space="preserve">Accessed April 11, 2024. </w:t>
      </w:r>
    </w:p>
    <w:p w14:paraId="5B30A5C6" w14:textId="77777777" w:rsidR="009F5CAD" w:rsidRPr="00814755" w:rsidRDefault="009F5CAD" w:rsidP="009F5CAD">
      <w:pPr>
        <w:pStyle w:val="ReferenceOrdered"/>
      </w:pPr>
      <w:r w:rsidRPr="00814755">
        <w:t xml:space="preserve">The NCCN Drugs &amp; Biologics Compendium® © 2024 National Comprehensive Cancer Network, Inc. </w:t>
      </w:r>
      <w:hyperlink r:id="rId16" w:history="1">
        <w:r w:rsidRPr="00814755">
          <w:t>https://www.nccn.org</w:t>
        </w:r>
      </w:hyperlink>
      <w:r w:rsidRPr="00814755">
        <w:t>. Accessed April 11, 2024.</w:t>
      </w:r>
    </w:p>
    <w:p w14:paraId="74547378" w14:textId="77777777" w:rsidR="009F5CAD" w:rsidRPr="00814755" w:rsidRDefault="009F5CAD" w:rsidP="009F5CAD">
      <w:pPr>
        <w:pStyle w:val="ReferenceOrdered"/>
      </w:pPr>
      <w:r w:rsidRPr="00052543">
        <w:rPr>
          <w:lang w:val="it-IT"/>
        </w:rPr>
        <w:t xml:space="preserve">Arber D, Orazi A, Vardiman J, et al. </w:t>
      </w:r>
      <w:r w:rsidRPr="00814755">
        <w:t>The 2016 revision to the World Health Organization classification of myeloid neoplasms and acute leukemia. Blood. May 19, 2016;127(20):2391-2405.</w:t>
      </w:r>
    </w:p>
    <w:p w14:paraId="66DEBAED" w14:textId="77777777" w:rsidR="009F5CAD" w:rsidRPr="00814755" w:rsidRDefault="009F5CAD" w:rsidP="009F5CAD">
      <w:pPr>
        <w:pStyle w:val="ReferenceOrdered"/>
      </w:pPr>
      <w:r w:rsidRPr="00814755">
        <w:t xml:space="preserve">The NCCN Clinical Practice Guidelines in Oncology® Acute Lymphoblastic Leukemia (Version 4.2023). © 2024 National Comprehensive Cancer Network, Inc. </w:t>
      </w:r>
      <w:hyperlink r:id="rId17" w:history="1">
        <w:r w:rsidRPr="00814755">
          <w:t>https://www.nccn.org</w:t>
        </w:r>
      </w:hyperlink>
      <w:r w:rsidRPr="00814755">
        <w:t>. Accessed April 11, 2024.</w:t>
      </w:r>
    </w:p>
    <w:p w14:paraId="09B60B84" w14:textId="77777777" w:rsidR="009F5CAD" w:rsidRPr="00814755" w:rsidRDefault="009F5CAD" w:rsidP="009F5CAD">
      <w:pPr>
        <w:pStyle w:val="ReferenceOrdered"/>
      </w:pPr>
      <w:r w:rsidRPr="00814755">
        <w:t xml:space="preserve">Lexicomp Online®, AHFS® Drug Information, Hudson, Ohio: Wolters Kluwer Clinical Drug Information, Inc.; </w:t>
      </w:r>
      <w:hyperlink r:id="rId18" w:history="1">
        <w:r w:rsidRPr="00814755">
          <w:t>http://online.lexi.com</w:t>
        </w:r>
      </w:hyperlink>
      <w:r w:rsidRPr="00814755">
        <w:t xml:space="preserve"> [available with subscription]. Accessed April 11, 2024.</w:t>
      </w:r>
    </w:p>
    <w:p w14:paraId="27E46C45" w14:textId="77777777" w:rsidR="009F5CAD" w:rsidRPr="00814755" w:rsidRDefault="009F5CAD" w:rsidP="009F5CAD">
      <w:pPr>
        <w:pStyle w:val="ReferenceOrdered"/>
      </w:pPr>
      <w:r w:rsidRPr="00052543">
        <w:rPr>
          <w:lang w:val="de-DE"/>
        </w:rPr>
        <w:t xml:space="preserve">Tomblyn M, Chiller T, Einsele H, et al. </w:t>
      </w:r>
      <w:r w:rsidRPr="00814755">
        <w:t>Guidelines for preventing infectious complications among hematopoietic cell transplantation recipients: a global perspective. Biol Blood Marrow Transplant. 2009; 15(10):1143-1238. URL: http://www.ncbi.nlm.nih.gov/pmc/articles/PMC3103296/pdf/nihms205400.pdf.</w:t>
      </w:r>
      <w:r>
        <w:t xml:space="preserve"> </w:t>
      </w:r>
      <w:r w:rsidRPr="00814755">
        <w:t xml:space="preserve">Accessed April 30, 2019. </w:t>
      </w:r>
    </w:p>
    <w:p w14:paraId="011A5814" w14:textId="77777777" w:rsidR="009F5CAD" w:rsidRPr="00814755" w:rsidRDefault="009F5CAD" w:rsidP="009F5CAD">
      <w:pPr>
        <w:pStyle w:val="ReferenceOrdered"/>
      </w:pPr>
      <w:proofErr w:type="spellStart"/>
      <w:r w:rsidRPr="00814755">
        <w:t>Ruxience</w:t>
      </w:r>
      <w:proofErr w:type="spellEnd"/>
      <w:r w:rsidRPr="00814755">
        <w:t xml:space="preserve"> [package insert]. NY, NY: Pfizer Inc; October 2023.</w:t>
      </w:r>
    </w:p>
    <w:p w14:paraId="6AB1B5E7" w14:textId="77777777" w:rsidR="009F5CAD" w:rsidRPr="001E6C58" w:rsidRDefault="009F5CAD" w:rsidP="009F5CAD">
      <w:pPr>
        <w:pStyle w:val="ReferenceOrdered"/>
      </w:pPr>
      <w:proofErr w:type="spellStart"/>
      <w:r w:rsidRPr="00814755">
        <w:t>Riabni</w:t>
      </w:r>
      <w:proofErr w:type="spellEnd"/>
      <w:r w:rsidRPr="00814755">
        <w:t xml:space="preserve"> [package insert]. Thousand Oaks, CA: Amgen Inc.; February 2023.</w:t>
      </w:r>
    </w:p>
    <w:p w14:paraId="6472E312" w14:textId="77777777" w:rsidR="009F5CAD" w:rsidRPr="00041100" w:rsidRDefault="009F5CAD" w:rsidP="00041100">
      <w:pPr>
        <w:pStyle w:val="BodyText"/>
      </w:pPr>
    </w:p>
    <w:sectPr w:rsidR="009F5CAD" w:rsidRPr="00041100" w:rsidSect="00474E9A">
      <w:headerReference w:type="first" r:id="rId19"/>
      <w:footerReference w:type="first" r:id="rId20"/>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A7109" w14:textId="77777777" w:rsidR="00670F33" w:rsidRDefault="00670F33">
      <w:r>
        <w:separator/>
      </w:r>
    </w:p>
  </w:endnote>
  <w:endnote w:type="continuationSeparator" w:id="0">
    <w:p w14:paraId="7AA1CC94" w14:textId="77777777" w:rsidR="00670F33" w:rsidRDefault="00670F33">
      <w:r>
        <w:continuationSeparator/>
      </w:r>
    </w:p>
  </w:endnote>
  <w:endnote w:type="continuationNotice" w:id="1">
    <w:p w14:paraId="1F4CAC6E" w14:textId="77777777" w:rsidR="00670F33" w:rsidRDefault="00670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C8B889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356FB" w:rsidRPr="002356FB">
      <w:rPr>
        <w:rFonts w:cs="Arial"/>
        <w:noProof/>
        <w:sz w:val="16"/>
        <w:szCs w:val="16"/>
      </w:rPr>
      <w:t>Rituxan-Ruxience-Truxima-Riabni-RA+Others</w:t>
    </w:r>
    <w:r w:rsidR="002356FB">
      <w:rPr>
        <w:rFonts w:cs="Arial"/>
        <w:noProof/>
        <w:snapToGrid w:val="0"/>
        <w:color w:val="000000"/>
        <w:sz w:val="16"/>
        <w:szCs w:val="16"/>
      </w:rPr>
      <w:t xml:space="preserve"> SGM 1704-A</w:t>
    </w:r>
    <w:r w:rsidR="002356FB" w:rsidRPr="002356FB">
      <w:rPr>
        <w:rFonts w:cs="Arial"/>
        <w:noProof/>
        <w:sz w:val="16"/>
        <w:szCs w:val="16"/>
      </w:rPr>
      <w:t xml:space="preserve"> P2024a</w:t>
    </w:r>
    <w:r w:rsidR="002356F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45157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47DFFF" w:rsidR="00F75C81" w:rsidRPr="00AA1E6A" w:rsidRDefault="00C36B72" w:rsidP="00F7164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637750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36991" w:rsidRPr="00E36991">
      <w:rPr>
        <w:rFonts w:cs="Arial"/>
        <w:noProof/>
        <w:sz w:val="16"/>
        <w:szCs w:val="16"/>
      </w:rPr>
      <w:t>Rituxan-Ruxience-Truxima-Riabni-RA+Others</w:t>
    </w:r>
    <w:r w:rsidR="00E36991">
      <w:rPr>
        <w:rFonts w:cs="Arial"/>
        <w:noProof/>
        <w:snapToGrid w:val="0"/>
        <w:color w:val="000000"/>
        <w:sz w:val="16"/>
        <w:szCs w:val="16"/>
      </w:rPr>
      <w:t xml:space="preserve"> SGM 1704-A</w:t>
    </w:r>
    <w:r w:rsidR="00E36991" w:rsidRPr="00E36991">
      <w:rPr>
        <w:rFonts w:cs="Arial"/>
        <w:noProof/>
        <w:sz w:val="16"/>
        <w:szCs w:val="16"/>
      </w:rPr>
      <w:t xml:space="preserve"> P2024a</w:t>
    </w:r>
    <w:r w:rsidR="00E36991">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00272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7DE96F3" w:rsidR="00ED04EC" w:rsidRPr="00F50D98" w:rsidRDefault="00F50D98" w:rsidP="000625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0558E" w14:textId="77777777" w:rsidR="00670F33" w:rsidRDefault="00670F33">
      <w:r>
        <w:separator/>
      </w:r>
    </w:p>
  </w:footnote>
  <w:footnote w:type="continuationSeparator" w:id="0">
    <w:p w14:paraId="0B39F0D9" w14:textId="77777777" w:rsidR="00670F33" w:rsidRDefault="00670F33">
      <w:r>
        <w:continuationSeparator/>
      </w:r>
    </w:p>
  </w:footnote>
  <w:footnote w:type="continuationNotice" w:id="1">
    <w:p w14:paraId="5980397B" w14:textId="77777777" w:rsidR="00670F33" w:rsidRDefault="00670F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427E4" w14:paraId="16262E63" w14:textId="77777777" w:rsidTr="0006569F">
      <w:trPr>
        <w:trHeight w:val="144"/>
        <w:jc w:val="right"/>
      </w:trPr>
      <w:tc>
        <w:tcPr>
          <w:tcW w:w="1854" w:type="dxa"/>
          <w:hideMark/>
        </w:tcPr>
        <w:p w14:paraId="18F550B7" w14:textId="77777777" w:rsidR="00ED04EC" w:rsidRPr="006427E4" w:rsidRDefault="00ED04EC" w:rsidP="00ED04EC">
          <w:pPr>
            <w:pStyle w:val="Header"/>
            <w:rPr>
              <w:rFonts w:cs="Arial"/>
              <w:sz w:val="16"/>
              <w:szCs w:val="16"/>
            </w:rPr>
          </w:pPr>
          <w:r w:rsidRPr="006427E4">
            <w:rPr>
              <w:rFonts w:cs="Arial"/>
              <w:sz w:val="16"/>
              <w:szCs w:val="16"/>
            </w:rPr>
            <w:t>Reference number(s)</w:t>
          </w:r>
        </w:p>
      </w:tc>
    </w:tr>
    <w:tr w:rsidR="00ED04EC" w:rsidRPr="006427E4" w14:paraId="703C6588" w14:textId="77777777" w:rsidTr="0006569F">
      <w:trPr>
        <w:trHeight w:val="378"/>
        <w:jc w:val="right"/>
      </w:trPr>
      <w:tc>
        <w:tcPr>
          <w:tcW w:w="1854" w:type="dxa"/>
          <w:hideMark/>
        </w:tcPr>
        <w:p w14:paraId="51CE3E64" w14:textId="71843817" w:rsidR="002B608C" w:rsidRPr="006427E4" w:rsidRDefault="00B56A08" w:rsidP="00ED04EC">
          <w:pPr>
            <w:pStyle w:val="Header"/>
            <w:rPr>
              <w:rFonts w:cs="Arial"/>
              <w:sz w:val="16"/>
              <w:szCs w:val="16"/>
            </w:rPr>
          </w:pPr>
          <w:r>
            <w:rPr>
              <w:rFonts w:cs="Arial"/>
              <w:sz w:val="16"/>
              <w:szCs w:val="16"/>
            </w:rPr>
            <w:t>1704</w:t>
          </w:r>
          <w:r w:rsidR="002B608C" w:rsidRPr="006427E4">
            <w:rPr>
              <w:rFonts w:cs="Arial"/>
              <w:sz w:val="16"/>
              <w:szCs w:val="16"/>
            </w:rPr>
            <w:t>-</w:t>
          </w:r>
          <w:r w:rsidR="00002A02">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36CEB"/>
    <w:multiLevelType w:val="hybridMultilevel"/>
    <w:tmpl w:val="A9B29CB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7B485A"/>
    <w:multiLevelType w:val="hybridMultilevel"/>
    <w:tmpl w:val="E0247FD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5C96CB3"/>
    <w:multiLevelType w:val="hybridMultilevel"/>
    <w:tmpl w:val="A54864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066E83"/>
    <w:multiLevelType w:val="hybridMultilevel"/>
    <w:tmpl w:val="8E467A08"/>
    <w:lvl w:ilvl="0" w:tplc="361C16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360B52"/>
    <w:multiLevelType w:val="hybridMultilevel"/>
    <w:tmpl w:val="47C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351CE3"/>
    <w:multiLevelType w:val="hybridMultilevel"/>
    <w:tmpl w:val="10C6D4A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DEB20E1"/>
    <w:multiLevelType w:val="hybridMultilevel"/>
    <w:tmpl w:val="A838F1F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40090001">
      <w:start w:val="1"/>
      <w:numFmt w:val="bullet"/>
      <w:lvlText w:val=""/>
      <w:lvlJc w:val="left"/>
      <w:pPr>
        <w:ind w:left="3240" w:hanging="360"/>
      </w:pPr>
      <w:rPr>
        <w:rFonts w:ascii="Symbol" w:hAnsi="Symbol"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09D18D0"/>
    <w:multiLevelType w:val="hybridMultilevel"/>
    <w:tmpl w:val="F5A0996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4C91107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B3302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A124EC"/>
    <w:multiLevelType w:val="hybridMultilevel"/>
    <w:tmpl w:val="5ADE4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1936C8"/>
    <w:multiLevelType w:val="hybridMultilevel"/>
    <w:tmpl w:val="558A055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519D2"/>
    <w:multiLevelType w:val="hybridMultilevel"/>
    <w:tmpl w:val="A0BA7058"/>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09050DC"/>
    <w:multiLevelType w:val="hybridMultilevel"/>
    <w:tmpl w:val="811A59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36C60B7"/>
    <w:multiLevelType w:val="hybridMultilevel"/>
    <w:tmpl w:val="3194884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41F42DB"/>
    <w:multiLevelType w:val="hybridMultilevel"/>
    <w:tmpl w:val="8FC269EE"/>
    <w:lvl w:ilvl="0" w:tplc="C540E47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8326B1"/>
    <w:multiLevelType w:val="hybridMultilevel"/>
    <w:tmpl w:val="2320E4D8"/>
    <w:lvl w:ilvl="0" w:tplc="DA9C1D4E">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D84BDB"/>
    <w:multiLevelType w:val="hybridMultilevel"/>
    <w:tmpl w:val="3C52959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38A38B5"/>
    <w:multiLevelType w:val="hybridMultilevel"/>
    <w:tmpl w:val="68340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786DC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8"/>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2"/>
  </w:num>
  <w:num w:numId="17" w16cid:durableId="2128498676">
    <w:abstractNumId w:val="42"/>
  </w:num>
  <w:num w:numId="18" w16cid:durableId="299724409">
    <w:abstractNumId w:val="29"/>
  </w:num>
  <w:num w:numId="19" w16cid:durableId="214585573">
    <w:abstractNumId w:val="16"/>
  </w:num>
  <w:num w:numId="20" w16cid:durableId="1289816170">
    <w:abstractNumId w:val="18"/>
  </w:num>
  <w:num w:numId="21" w16cid:durableId="1066490929">
    <w:abstractNumId w:val="44"/>
  </w:num>
  <w:num w:numId="22" w16cid:durableId="1472481103">
    <w:abstractNumId w:val="33"/>
  </w:num>
  <w:num w:numId="23" w16cid:durableId="1997420403">
    <w:abstractNumId w:val="39"/>
  </w:num>
  <w:num w:numId="24" w16cid:durableId="33312838">
    <w:abstractNumId w:val="30"/>
  </w:num>
  <w:num w:numId="25" w16cid:durableId="507404939">
    <w:abstractNumId w:val="21"/>
  </w:num>
  <w:num w:numId="26" w16cid:durableId="1199008779">
    <w:abstractNumId w:val="17"/>
  </w:num>
  <w:num w:numId="27" w16cid:durableId="313687096">
    <w:abstractNumId w:val="24"/>
  </w:num>
  <w:num w:numId="28" w16cid:durableId="235746884">
    <w:abstractNumId w:val="12"/>
  </w:num>
  <w:num w:numId="29" w16cid:durableId="685014010">
    <w:abstractNumId w:val="25"/>
  </w:num>
  <w:num w:numId="30" w16cid:durableId="879166249">
    <w:abstractNumId w:val="37"/>
  </w:num>
  <w:num w:numId="31" w16cid:durableId="1243566383">
    <w:abstractNumId w:val="34"/>
  </w:num>
  <w:num w:numId="32" w16cid:durableId="1658726212">
    <w:abstractNumId w:val="20"/>
  </w:num>
  <w:num w:numId="33" w16cid:durableId="345324521">
    <w:abstractNumId w:val="36"/>
  </w:num>
  <w:num w:numId="34" w16cid:durableId="845704041">
    <w:abstractNumId w:val="35"/>
  </w:num>
  <w:num w:numId="35" w16cid:durableId="1879706093">
    <w:abstractNumId w:val="41"/>
  </w:num>
  <w:num w:numId="36" w16cid:durableId="1810242603">
    <w:abstractNumId w:val="15"/>
  </w:num>
  <w:num w:numId="37" w16cid:durableId="1341129603">
    <w:abstractNumId w:val="44"/>
  </w:num>
  <w:num w:numId="38" w16cid:durableId="1564099394">
    <w:abstractNumId w:val="44"/>
  </w:num>
  <w:num w:numId="39" w16cid:durableId="348216433">
    <w:abstractNumId w:val="19"/>
  </w:num>
  <w:num w:numId="40" w16cid:durableId="728306777">
    <w:abstractNumId w:val="31"/>
  </w:num>
  <w:num w:numId="41" w16cid:durableId="1401947153">
    <w:abstractNumId w:val="40"/>
  </w:num>
  <w:num w:numId="42" w16cid:durableId="1491867910">
    <w:abstractNumId w:val="32"/>
  </w:num>
  <w:num w:numId="43" w16cid:durableId="2032563157">
    <w:abstractNumId w:val="23"/>
  </w:num>
  <w:num w:numId="44" w16cid:durableId="1425758462">
    <w:abstractNumId w:val="10"/>
  </w:num>
  <w:num w:numId="45" w16cid:durableId="1268000708">
    <w:abstractNumId w:val="28"/>
  </w:num>
  <w:num w:numId="46" w16cid:durableId="1062482497">
    <w:abstractNumId w:val="26"/>
  </w:num>
  <w:num w:numId="47" w16cid:durableId="774060460">
    <w:abstractNumId w:val="4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A02"/>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1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511"/>
    <w:rsid w:val="00062816"/>
    <w:rsid w:val="00064347"/>
    <w:rsid w:val="00064396"/>
    <w:rsid w:val="00065AC6"/>
    <w:rsid w:val="000661DB"/>
    <w:rsid w:val="00066D4B"/>
    <w:rsid w:val="0006765E"/>
    <w:rsid w:val="00067732"/>
    <w:rsid w:val="0006774C"/>
    <w:rsid w:val="00070758"/>
    <w:rsid w:val="00070C48"/>
    <w:rsid w:val="000717F6"/>
    <w:rsid w:val="00071A7F"/>
    <w:rsid w:val="0007286F"/>
    <w:rsid w:val="00073832"/>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6C8"/>
    <w:rsid w:val="000A5AE5"/>
    <w:rsid w:val="000A71EC"/>
    <w:rsid w:val="000A7D51"/>
    <w:rsid w:val="000B0F9D"/>
    <w:rsid w:val="000B104D"/>
    <w:rsid w:val="000B1961"/>
    <w:rsid w:val="000B20CD"/>
    <w:rsid w:val="000B2E6C"/>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0F7DAC"/>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CFF"/>
    <w:rsid w:val="0018562F"/>
    <w:rsid w:val="0018575D"/>
    <w:rsid w:val="0018586D"/>
    <w:rsid w:val="001858C6"/>
    <w:rsid w:val="00185A9C"/>
    <w:rsid w:val="00185C58"/>
    <w:rsid w:val="00185CE6"/>
    <w:rsid w:val="00186758"/>
    <w:rsid w:val="00186A9A"/>
    <w:rsid w:val="00187BCC"/>
    <w:rsid w:val="00190200"/>
    <w:rsid w:val="001914C8"/>
    <w:rsid w:val="001916D1"/>
    <w:rsid w:val="00191904"/>
    <w:rsid w:val="0019195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A92"/>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4FB"/>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142"/>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6FB"/>
    <w:rsid w:val="00235900"/>
    <w:rsid w:val="00235A26"/>
    <w:rsid w:val="00235ADF"/>
    <w:rsid w:val="00235FEF"/>
    <w:rsid w:val="00240136"/>
    <w:rsid w:val="00240736"/>
    <w:rsid w:val="00240C70"/>
    <w:rsid w:val="0024185D"/>
    <w:rsid w:val="002423DE"/>
    <w:rsid w:val="00242E29"/>
    <w:rsid w:val="00242F54"/>
    <w:rsid w:val="00243017"/>
    <w:rsid w:val="0024305D"/>
    <w:rsid w:val="0024395C"/>
    <w:rsid w:val="00244442"/>
    <w:rsid w:val="0024498F"/>
    <w:rsid w:val="002504F9"/>
    <w:rsid w:val="00250C39"/>
    <w:rsid w:val="00250E25"/>
    <w:rsid w:val="00251EE2"/>
    <w:rsid w:val="0025245A"/>
    <w:rsid w:val="0025286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BEB"/>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B25"/>
    <w:rsid w:val="002965CE"/>
    <w:rsid w:val="00296EC3"/>
    <w:rsid w:val="00297405"/>
    <w:rsid w:val="002A02BE"/>
    <w:rsid w:val="002A0A3B"/>
    <w:rsid w:val="002A0DB7"/>
    <w:rsid w:val="002A0F12"/>
    <w:rsid w:val="002A1602"/>
    <w:rsid w:val="002A1A1C"/>
    <w:rsid w:val="002A245D"/>
    <w:rsid w:val="002A3CC2"/>
    <w:rsid w:val="002A529C"/>
    <w:rsid w:val="002A58FA"/>
    <w:rsid w:val="002A5D89"/>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08C"/>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23B"/>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0E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C1E"/>
    <w:rsid w:val="00315D6F"/>
    <w:rsid w:val="00316DC1"/>
    <w:rsid w:val="00320652"/>
    <w:rsid w:val="003213DE"/>
    <w:rsid w:val="00321446"/>
    <w:rsid w:val="00322EB1"/>
    <w:rsid w:val="00323534"/>
    <w:rsid w:val="00323A7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3F1B"/>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6CB4"/>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31DD"/>
    <w:rsid w:val="003B4BC1"/>
    <w:rsid w:val="003B4FB6"/>
    <w:rsid w:val="003B5A8C"/>
    <w:rsid w:val="003B5C47"/>
    <w:rsid w:val="003B6158"/>
    <w:rsid w:val="003B7DE9"/>
    <w:rsid w:val="003C1EA0"/>
    <w:rsid w:val="003C2846"/>
    <w:rsid w:val="003C2DBA"/>
    <w:rsid w:val="003C2F46"/>
    <w:rsid w:val="003C3B92"/>
    <w:rsid w:val="003C3EB1"/>
    <w:rsid w:val="003C44EA"/>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F0F"/>
    <w:rsid w:val="00401319"/>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13"/>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280"/>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4E9A"/>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50F"/>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476"/>
    <w:rsid w:val="004C3213"/>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3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5A4"/>
    <w:rsid w:val="00513C29"/>
    <w:rsid w:val="00513FB7"/>
    <w:rsid w:val="00514A01"/>
    <w:rsid w:val="00515A3D"/>
    <w:rsid w:val="00515A5C"/>
    <w:rsid w:val="005166CA"/>
    <w:rsid w:val="00516920"/>
    <w:rsid w:val="00517206"/>
    <w:rsid w:val="00520296"/>
    <w:rsid w:val="00520A89"/>
    <w:rsid w:val="005210A8"/>
    <w:rsid w:val="00521489"/>
    <w:rsid w:val="0052176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CD6"/>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D1"/>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9B1"/>
    <w:rsid w:val="00587E65"/>
    <w:rsid w:val="0059101B"/>
    <w:rsid w:val="00591933"/>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1EE9"/>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2C68"/>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7E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21B"/>
    <w:rsid w:val="00667755"/>
    <w:rsid w:val="00667944"/>
    <w:rsid w:val="00670A4F"/>
    <w:rsid w:val="00670F33"/>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49"/>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6F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B91"/>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F23"/>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7F"/>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EE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7A1"/>
    <w:rsid w:val="00792991"/>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6D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A99"/>
    <w:rsid w:val="008571AA"/>
    <w:rsid w:val="00860962"/>
    <w:rsid w:val="00860CBD"/>
    <w:rsid w:val="00860E69"/>
    <w:rsid w:val="00861CA3"/>
    <w:rsid w:val="00861DD6"/>
    <w:rsid w:val="00861F40"/>
    <w:rsid w:val="00863211"/>
    <w:rsid w:val="00863541"/>
    <w:rsid w:val="008646F4"/>
    <w:rsid w:val="00864778"/>
    <w:rsid w:val="008659E9"/>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116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4B84"/>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6F5A"/>
    <w:rsid w:val="00927612"/>
    <w:rsid w:val="00927737"/>
    <w:rsid w:val="00930F9F"/>
    <w:rsid w:val="00930FF5"/>
    <w:rsid w:val="00931D1D"/>
    <w:rsid w:val="00931D32"/>
    <w:rsid w:val="009323E1"/>
    <w:rsid w:val="009324A8"/>
    <w:rsid w:val="00932532"/>
    <w:rsid w:val="00934760"/>
    <w:rsid w:val="009348CB"/>
    <w:rsid w:val="00934A46"/>
    <w:rsid w:val="00935BC3"/>
    <w:rsid w:val="00936EDB"/>
    <w:rsid w:val="00937266"/>
    <w:rsid w:val="00940AA9"/>
    <w:rsid w:val="00941264"/>
    <w:rsid w:val="0094296E"/>
    <w:rsid w:val="0094298C"/>
    <w:rsid w:val="009434E1"/>
    <w:rsid w:val="0094553A"/>
    <w:rsid w:val="00946337"/>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315"/>
    <w:rsid w:val="00967BB3"/>
    <w:rsid w:val="00967BFF"/>
    <w:rsid w:val="00967D31"/>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11"/>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0B50"/>
    <w:rsid w:val="009F1EDE"/>
    <w:rsid w:val="009F2CEE"/>
    <w:rsid w:val="009F2EF1"/>
    <w:rsid w:val="009F3F1F"/>
    <w:rsid w:val="009F426B"/>
    <w:rsid w:val="009F5CAD"/>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07E45"/>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479"/>
    <w:rsid w:val="00A46ECB"/>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0A4"/>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91"/>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C5C"/>
    <w:rsid w:val="00AF6F09"/>
    <w:rsid w:val="00B00963"/>
    <w:rsid w:val="00B01716"/>
    <w:rsid w:val="00B01BDE"/>
    <w:rsid w:val="00B02279"/>
    <w:rsid w:val="00B03227"/>
    <w:rsid w:val="00B03852"/>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1D5"/>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75D"/>
    <w:rsid w:val="00B55FE1"/>
    <w:rsid w:val="00B569FC"/>
    <w:rsid w:val="00B56A08"/>
    <w:rsid w:val="00B57430"/>
    <w:rsid w:val="00B574C8"/>
    <w:rsid w:val="00B57C0E"/>
    <w:rsid w:val="00B61A8B"/>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1D0"/>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5FC6"/>
    <w:rsid w:val="00BE6B5E"/>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1A9F"/>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3B"/>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291"/>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86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EA6"/>
    <w:rsid w:val="00CE409F"/>
    <w:rsid w:val="00CE4870"/>
    <w:rsid w:val="00CE61C3"/>
    <w:rsid w:val="00CE6A0D"/>
    <w:rsid w:val="00CE71E6"/>
    <w:rsid w:val="00CE72B8"/>
    <w:rsid w:val="00CE76BE"/>
    <w:rsid w:val="00CE7E59"/>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7DD"/>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29FE"/>
    <w:rsid w:val="00D64807"/>
    <w:rsid w:val="00D6549B"/>
    <w:rsid w:val="00D65533"/>
    <w:rsid w:val="00D665CC"/>
    <w:rsid w:val="00D66B08"/>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C7F0E"/>
    <w:rsid w:val="00DD11EC"/>
    <w:rsid w:val="00DD1A9A"/>
    <w:rsid w:val="00DD1F42"/>
    <w:rsid w:val="00DD23B6"/>
    <w:rsid w:val="00DD34C0"/>
    <w:rsid w:val="00DD4EA3"/>
    <w:rsid w:val="00DD5193"/>
    <w:rsid w:val="00DD56B8"/>
    <w:rsid w:val="00DD5970"/>
    <w:rsid w:val="00DD6F65"/>
    <w:rsid w:val="00DD70A3"/>
    <w:rsid w:val="00DE02C1"/>
    <w:rsid w:val="00DE1C7E"/>
    <w:rsid w:val="00DE1E23"/>
    <w:rsid w:val="00DE219D"/>
    <w:rsid w:val="00DE23E7"/>
    <w:rsid w:val="00DE2E13"/>
    <w:rsid w:val="00DE3856"/>
    <w:rsid w:val="00DE3C2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BA"/>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91"/>
    <w:rsid w:val="00E369D1"/>
    <w:rsid w:val="00E36D92"/>
    <w:rsid w:val="00E36FE9"/>
    <w:rsid w:val="00E37AC2"/>
    <w:rsid w:val="00E37D6E"/>
    <w:rsid w:val="00E37E5D"/>
    <w:rsid w:val="00E37EBA"/>
    <w:rsid w:val="00E40054"/>
    <w:rsid w:val="00E409ED"/>
    <w:rsid w:val="00E4269F"/>
    <w:rsid w:val="00E43125"/>
    <w:rsid w:val="00E434A7"/>
    <w:rsid w:val="00E43709"/>
    <w:rsid w:val="00E4431D"/>
    <w:rsid w:val="00E446A5"/>
    <w:rsid w:val="00E449A7"/>
    <w:rsid w:val="00E45C1A"/>
    <w:rsid w:val="00E4640D"/>
    <w:rsid w:val="00E46738"/>
    <w:rsid w:val="00E46A0A"/>
    <w:rsid w:val="00E46BFE"/>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5FF"/>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792"/>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199"/>
    <w:rsid w:val="00F252EE"/>
    <w:rsid w:val="00F258D4"/>
    <w:rsid w:val="00F2670F"/>
    <w:rsid w:val="00F26FDE"/>
    <w:rsid w:val="00F278CB"/>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35B"/>
    <w:rsid w:val="00F42E4B"/>
    <w:rsid w:val="00F43BA8"/>
    <w:rsid w:val="00F4512B"/>
    <w:rsid w:val="00F461CE"/>
    <w:rsid w:val="00F46256"/>
    <w:rsid w:val="00F46AB1"/>
    <w:rsid w:val="00F472D1"/>
    <w:rsid w:val="00F50C28"/>
    <w:rsid w:val="00F50D98"/>
    <w:rsid w:val="00F51A68"/>
    <w:rsid w:val="00F51ACB"/>
    <w:rsid w:val="00F524C5"/>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64F"/>
    <w:rsid w:val="00F718A3"/>
    <w:rsid w:val="00F71DC9"/>
    <w:rsid w:val="00F729CF"/>
    <w:rsid w:val="00F72FC2"/>
    <w:rsid w:val="00F737FC"/>
    <w:rsid w:val="00F749A8"/>
    <w:rsid w:val="00F74F32"/>
    <w:rsid w:val="00F75C81"/>
    <w:rsid w:val="00F760BB"/>
    <w:rsid w:val="00F76A97"/>
    <w:rsid w:val="00F773AB"/>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390C"/>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DE3C26"/>
    <w:pPr>
      <w:numPr>
        <w:numId w:val="3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online.lexi.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nccn.org" TargetMode="External"/><Relationship Id="rId2" Type="http://schemas.openxmlformats.org/officeDocument/2006/relationships/customXml" Target="../customXml/item2.xml"/><Relationship Id="rId16" Type="http://schemas.openxmlformats.org/officeDocument/2006/relationships/hyperlink" Target="https://www.ncc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icromedexsolutions.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4867E17-BA55-452E-BC4B-6711951FF479}"/>
</file>

<file path=docProps/app.xml><?xml version="1.0" encoding="utf-8"?>
<Properties xmlns="http://schemas.openxmlformats.org/officeDocument/2006/extended-properties" xmlns:vt="http://schemas.openxmlformats.org/officeDocument/2006/docPropsVTypes">
  <Template>Normal.dotm</Template>
  <TotalTime>6</TotalTime>
  <Pages>13</Pages>
  <Words>3172</Words>
  <Characters>21860</Characters>
  <Application>Microsoft Office Word</Application>
  <DocSecurity>0</DocSecurity>
  <Lines>404</Lines>
  <Paragraphs>284</Paragraphs>
  <ScaleCrop>false</ScaleCrop>
  <HeadingPairs>
    <vt:vector size="2" baseType="variant">
      <vt:variant>
        <vt:lpstr>Title</vt:lpstr>
      </vt:variant>
      <vt:variant>
        <vt:i4>1</vt:i4>
      </vt:variant>
    </vt:vector>
  </HeadingPairs>
  <TitlesOfParts>
    <vt:vector size="1" baseType="lpstr">
      <vt:lpstr>Specialty Quantity Limit Vanflyta 6097-H 2024</vt:lpstr>
    </vt:vector>
  </TitlesOfParts>
  <Company>PCS Health Systems</Company>
  <LinksUpToDate>false</LinksUpToDate>
  <CharactersWithSpaces>24748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Specialty Quantity Limit Vanflyta 6097-H 2024</dc:title>
  <dc:subject/>
  <dc:creator>CVS Caremark</dc:creator>
  <cp:keywords/>
  <cp:lastModifiedBy>Ortiz, Erica M</cp:lastModifiedBy>
  <cp:revision>9</cp:revision>
  <cp:lastPrinted>2018-01-09T05:01:00Z</cp:lastPrinted>
  <dcterms:created xsi:type="dcterms:W3CDTF">2025-01-10T17:19:00Z</dcterms:created>
  <dcterms:modified xsi:type="dcterms:W3CDTF">2025-01-23T17:20:00Z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